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D03E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D03E9" w:rsidRPr="001D03E9" w:rsidRDefault="001D03E9" w:rsidP="001D0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:rsidR="001D03E9" w:rsidRPr="001D03E9" w:rsidRDefault="001D03E9" w:rsidP="001D03E9">
      <w:pPr>
        <w:tabs>
          <w:tab w:val="left" w:pos="14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1D03E9" w:rsidRPr="001D03E9" w:rsidRDefault="001D03E9" w:rsidP="001D0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Kūrmeśvara 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>Temple at Śrīkūrma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1D03E9" w:rsidRPr="001D03E9" w:rsidRDefault="001D03E9" w:rsidP="001D0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1D0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237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1D0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1D03E9"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  <w:r w:rsidRPr="001D03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>of 1896;</w:t>
      </w:r>
    </w:p>
    <w:p w:rsidR="001D03E9" w:rsidRPr="001D03E9" w:rsidRDefault="001D03E9" w:rsidP="001D03E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692, No.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233 )</w:t>
      </w:r>
      <w:proofErr w:type="gramEnd"/>
    </w:p>
    <w:p w:rsidR="001D03E9" w:rsidRPr="001D03E9" w:rsidRDefault="001D03E9" w:rsidP="001D03E9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1D03E9" w:rsidRPr="001D03E9" w:rsidRDefault="001D03E9" w:rsidP="001D03E9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ravi-nāga-rā {a}kṣi sahite pauṣe ca māse tithau sa-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ptamyāṃ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śukla[pakṣe] sitisu tasai(sahi)te kūrmmana thāya nityaṃ [.] prādādva(vai)śya-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kulodbhavī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varagavāṃ pañcāśadādmārtta dīpāthaṃ [ṃ]varava(vai)śya lakṣmaṇa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suta[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ḥ] śrīśramarupaḍirāyakaḥ .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1272 gune-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śrīvīrādhivīra naranārasihyideva pravarddhamāna vijayarā-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jya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saṃvatsaraṃvu 29 guneṭii pusya(ṣya) su[kla] saptamini bhānuvā-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rana&lt;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>2&gt; śrīkūrmmanātu(thu) saṃnidhini ācaṃdrārkkasthāigānu akhaḍadīpā-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seni seṭlagotrakulajuṃḍu va[śya] lakhimiseṭṭi koḍku a-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marupaḍirāyaṃḍu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namaku manorata(tha) paripūttigāna moda-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10 śrīkūrmmana guṃṭimākavāini koḍku kriṣṇama gocarānanu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iccināḍu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nitya nei aḍḍaṃr̤esi lekaṃ vosupāḍu ī dattamu ti-</w:t>
      </w:r>
    </w:p>
    <w:p w:rsidR="007A0EA4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D03E9">
        <w:rPr>
          <w:rFonts w:ascii="Arial Unicode MS" w:eastAsia="Arial Unicode MS" w:hAnsi="Arial Unicode MS" w:cs="Arial Unicode MS"/>
          <w:sz w:val="24"/>
          <w:szCs w:val="24"/>
        </w:rPr>
        <w:t>rupati</w:t>
      </w:r>
      <w:proofErr w:type="gramEnd"/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śrīma(vai)ṣṇa varakṣa śrī śrī śrī [..]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&lt;1. On the forty-fifth pillar, in the Tirchuttu maṇḍapa of this temple.&gt;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3E9">
        <w:rPr>
          <w:rFonts w:ascii="Arial Unicode MS" w:eastAsia="Arial Unicode MS" w:hAnsi="Arial Unicode MS" w:cs="Arial Unicode MS"/>
          <w:sz w:val="24"/>
          <w:szCs w:val="24"/>
        </w:rPr>
        <w:t>&lt;2. The date is not regular. But, if the month is Mārggalira Paurnami of the same year, then the corresponding date will be the 14</w:t>
      </w:r>
      <w:r w:rsidRPr="001D03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1D03E9">
        <w:rPr>
          <w:rFonts w:ascii="Arial Unicode MS" w:eastAsia="Arial Unicode MS" w:hAnsi="Arial Unicode MS" w:cs="Arial Unicode MS"/>
          <w:sz w:val="24"/>
          <w:szCs w:val="24"/>
        </w:rPr>
        <w:t xml:space="preserve"> November, 1350 A. D., Sunday.&gt;</w:t>
      </w:r>
    </w:p>
    <w:p w:rsidR="001D03E9" w:rsidRPr="001D03E9" w:rsidRDefault="001D03E9" w:rsidP="001D03E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D03E9" w:rsidRPr="001D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9"/>
    <w:rsid w:val="000C2906"/>
    <w:rsid w:val="000F336C"/>
    <w:rsid w:val="001D03E9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3DB5-F9D2-4449-B355-31FD3A4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E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2025-02-24T10:49:00Z</dcterms:created>
  <dcterms:modified xsi:type="dcterms:W3CDTF">2025-02-24T10:50:00Z</dcterms:modified>
</cp:coreProperties>
</file>