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7C67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bookmarkStart w:id="0" w:name="_GoBack"/>
      <w:bookmarkEnd w:id="0"/>
      <w:proofErr w:type="gramEnd"/>
    </w:p>
    <w:p w:rsidR="007C6719" w:rsidRPr="007C6719" w:rsidRDefault="007C6719" w:rsidP="007C671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7C67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7C6719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194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365-XXVII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1143&lt;2&gt;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(1.) ... ti śaśigaṇite śrāvaṇe......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(2.) ... vimāna-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vihāri[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>de]va......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(3.) ... gotraḥ śrīmatsiṃhā......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(4.) ... narahari haraye gaṃgavaṃśyāṃ.....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(5.) ...tkādevyaṭṭahāsa kṣitipatitanayaścoḍagago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(6.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svastiśakavaṣaṃ(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>rṣa)vulu 1143 guneṃṭi śrāvaṇa śu-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klaekāda]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>śiyu śanaiśca[ra]vāramunāṃḍu ātreyagotra sa-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(8.) ... bhūtuṃḍaina anaṃttavammaṃ aṭṭahāsadevani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 xml:space="preserve">(9.) … 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la[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>de]vikiṃ tri(pri)yaputruṃḍaina co[ḍa]gaṃgga&lt;3&gt;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(10.) ... ṃḍu jīhari śrīnarasiṃhadevaraku ācaṃdrārkka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(11.) ... gāṃ vaṭṭina akhaḍadīpamu okkaṭiki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 xml:space="preserve">(12.) ... 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śatrunā(</w:t>
      </w:r>
      <w:proofErr w:type="gramEnd"/>
      <w:r w:rsidRPr="007C6719">
        <w:rPr>
          <w:rFonts w:ascii="Arial Unicode MS" w:eastAsia="Arial Unicode MS" w:hAnsi="Arial Unicode MS" w:cs="Arial Unicode MS"/>
          <w:sz w:val="24"/>
          <w:szCs w:val="24"/>
        </w:rPr>
        <w:t>ṇā)pi krito dharmmaḥ pālanīyo manīṣi-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(13.) ... reva hi śatruyāta dharmmaḥ śatrunna karayacit [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..]yaṃ-</w:t>
      </w:r>
      <w:proofErr w:type="gramEnd"/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(14.) ... ttvargge yāvatkālaṃ ca saṃkhyāyā tasmāt cāta-</w:t>
      </w:r>
    </w:p>
    <w:p w:rsidR="007A0EA4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</w:rPr>
        <w:t>(15.) ... ddhattā narake prajet [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1. In the bhoga-maṇḍapa of this temple.&gt;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31</w:t>
      </w:r>
      <w:r w:rsidRPr="007C671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1221 A. D. Saturday. As we have shown in the beginning of the seventh line, the missing four letters may be joined and it may be read as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śrāvaṇa śukla ekādaśiyu </w:t>
      </w:r>
      <w:proofErr w:type="gramStart"/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śaneśvaravāra’ .&gt;</w:t>
      </w:r>
      <w:proofErr w:type="gramEnd"/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This king Choḍaga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ga of the Ga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ga dynasty is the son of Anantavarma Aṭṭahāsa deva whose name does not occur in the list of the imperial Ga</w:t>
      </w:r>
      <w:r w:rsidRPr="007C671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C6719">
        <w:rPr>
          <w:rFonts w:ascii="Arial Unicode MS" w:eastAsia="Arial Unicode MS" w:hAnsi="Arial Unicode MS" w:cs="Arial Unicode MS"/>
          <w:sz w:val="24"/>
          <w:szCs w:val="24"/>
          <w:lang w:bidi="sa-IN"/>
        </w:rPr>
        <w:t>ga kings. Most probably he belongs to another branch of the same family.&gt;</w:t>
      </w:r>
    </w:p>
    <w:p w:rsidR="007C6719" w:rsidRPr="007C6719" w:rsidRDefault="007C6719" w:rsidP="007C671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C6719" w:rsidRPr="007C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19"/>
    <w:rsid w:val="000C2906"/>
    <w:rsid w:val="000F336C"/>
    <w:rsid w:val="003C10CF"/>
    <w:rsid w:val="00467519"/>
    <w:rsid w:val="004E4259"/>
    <w:rsid w:val="007A0EA4"/>
    <w:rsid w:val="007C6719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5247C-F36A-4200-95E6-76879448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71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2024-11-29T05:22:00Z</dcterms:created>
  <dcterms:modified xsi:type="dcterms:W3CDTF">2024-11-29T05:24:00Z</dcterms:modified>
</cp:coreProperties>
</file>