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AF9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60"/>
            <w:shd w:val="clear" w:color="auto" w:fill="0D1B2A"/>
            <w:tcMar>
              <w:top w:w="480" w:type="dxa"/>
              <w:bottom w:w="480" w:type="dxa"/>
              <w:left w:w="400" w:type="dxa"/>
              <w:right w:w="4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2C39A"/>
                <w:sz w:val="22"/>
              </w:rPr>
              <w:t>CAPSTONE PROJECT SUBMISSION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UniServe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60"/>
              </w:rPr>
              <w:t>Integrated Market Strategy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02C39A"/>
                <w:sz w:val="28"/>
              </w:rPr>
              <w:t>Market Opportunity, Segments, Pricing, GTM Phasing, and Exit Strategy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6F5"/>
          </w:tcPr>
          <w:p>
            <w:pPr>
              <w:jc w:val="center"/>
            </w:pPr>
            <w:r>
              <w:rPr>
                <w:b/>
                <w:color w:val="1B3A52"/>
                <w:sz w:val="22"/>
              </w:rPr>
              <w:t>Capstone Project — UniServe</w:t>
            </w:r>
          </w:p>
          <w:p>
            <w:pPr>
              <w:jc w:val="center"/>
            </w:pPr>
            <w:r>
              <w:rPr>
                <w:b w:val="0"/>
                <w:color w:val="1B3A52"/>
                <w:sz w:val="22"/>
              </w:rPr>
              <w:t>Prepared 2026-07-26</w:t>
            </w:r>
          </w:p>
          <w:p>
            <w:pPr>
              <w:jc w:val="center"/>
            </w:pPr>
            <w:r>
              <w:rPr>
                <w:b w:val="0"/>
                <w:color w:val="1B3A52"/>
                <w:sz w:val="22"/>
              </w:rPr>
              <w:t>Market Strategy Moderator Process (4 analyst agents + adjudication)</w:t>
            </w:r>
          </w:p>
        </w:tc>
      </w:tr>
    </w:tbl>
    <w:p/>
    <w:p/>
    <w:p/>
    <w:p/>
    <w:p>
      <w:pPr>
        <w:jc w:val="center"/>
      </w:pPr>
      <w:r>
        <w:rPr>
          <w:i/>
          <w:color w:val="667788"/>
          <w:sz w:val="20"/>
        </w:rPr>
        <w:t>UniServe Integrated Market Strategy — Capstone Submission</w:t>
      </w:r>
    </w:p>
    <w:p>
      <w:r>
        <w:br w:type="page"/>
      </w:r>
    </w:p>
    <w:p>
      <w:pPr>
        <w:pBdr>
          <w:bottom w:val="single" w:sz="12" w:space="4" w:color="028090"/>
        </w:pBdr>
      </w:pPr>
      <w:r>
        <w:rPr>
          <w:b/>
          <w:color w:val="0D1B2A"/>
          <w:sz w:val="36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Right-click and choose Update Field to generate the table of contents.</w:t>
      </w:r>
      <w:fldChar w:fldCharType="end"/>
    </w:p>
    <w:p>
      <w:r>
        <w:br w:type="page"/>
      </w:r>
    </w:p>
    <w:p>
      <w:pPr>
        <w:spacing w:before="320" w:after="160"/>
        <w:pStyle w:val="Heading1"/>
        <w:keepNext/>
        <w:pBdr>
          <w:bottom w:val="single" w:sz="14" w:space="4" w:color="028090"/>
        </w:pBdr>
      </w:pPr>
      <w:r>
        <w:rPr>
          <w:rFonts w:ascii="Calibri" w:hAnsi="Calibri"/>
          <w:b/>
          <w:color w:val="0D1B2A"/>
          <w:sz w:val="40"/>
        </w:rPr>
        <w:t>UniServe — Integrated Market Strategy</w:t>
      </w:r>
    </w:p>
    <w:p>
      <w:r>
        <w:rPr>
          <w:b/>
          <w:color w:val="222B33"/>
          <w:sz w:val="21"/>
        </w:rPr>
        <w:t>Date:</w:t>
      </w:r>
      <w:r>
        <w:rPr>
          <w:color w:val="222B33"/>
          <w:sz w:val="21"/>
        </w:rPr>
        <w:t xml:space="preserve"> 2026-07-26 </w:t>
      </w:r>
      <w:r>
        <w:rPr>
          <w:b/>
          <w:color w:val="222B33"/>
          <w:sz w:val="21"/>
        </w:rPr>
        <w:t>Process:</w:t>
      </w:r>
      <w:r>
        <w:rPr>
          <w:color w:val="222B33"/>
          <w:sz w:val="21"/>
        </w:rPr>
        <w:t xml:space="preserve"> 4 independent analyst agents (Market, Customer, Commercial, Growth &amp; Exits) → moderator consolidation → cross-domain challenge/confirm review → final adjudication.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1. Market Opportunity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1.1 TAM / SAM / SOM</w:t>
      </w:r>
    </w:p>
    <w:p>
      <w:pPr>
        <w:pStyle w:val="ListBullet"/>
      </w:pPr>
      <w:r>
        <w:rPr>
          <w:b/>
          <w:color w:val="222B33"/>
          <w:sz w:val="21"/>
        </w:rPr>
        <w:t>TAM:</w:t>
      </w:r>
      <w:r>
        <w:rPr>
          <w:color w:val="222B33"/>
          <w:sz w:val="21"/>
        </w:rPr>
        <w:t xml:space="preserve"> $24–26B (2025), 13.9% CAGR through 2027 — Gartner's CRM Customer Engagement Center (case/ticket management, contact-center desktops, service analytics) category. </w:t>
      </w:r>
      <w:r>
        <w:rPr>
          <w:i/>
          <w:color w:val="222B33"/>
          <w:sz w:val="21"/>
        </w:rPr>
        <w:t>Confidence: High on CAGR, Medium on base (category boundaries vary widely by source; broader "customer service software" reports range $51B–$96B using a wider CX-suite definition not fully applicable to UniServe).</w:t>
      </w:r>
    </w:p>
    <w:p>
      <w:pPr>
        <w:pStyle w:val="ListBullet"/>
      </w:pPr>
      <w:r>
        <w:rPr>
          <w:b/>
          <w:color w:val="222B33"/>
          <w:sz w:val="21"/>
        </w:rPr>
        <w:t>SAM (India):</w:t>
      </w:r>
      <w:r>
        <w:rPr>
          <w:color w:val="222B33"/>
          <w:sz w:val="21"/>
        </w:rPr>
        <w:t xml:space="preserve"> $350–500M (2025) → $650–850M by 2028, 16–18% CAGR. Triangulated from a bottom-up org-count model (~$200M across discoms, PSUs, BFSI, telecom/e-commerce/automobile, healthcare/education/SME long-tail) and a top-down India CXM proxy ($690M–$1.1B, wider scope than pure complaint-ticketing). INR: ₹2,900–4,200 Cr. </w:t>
      </w:r>
      <w:r>
        <w:rPr>
          <w:i/>
          <w:color w:val="222B33"/>
          <w:sz w:val="21"/>
        </w:rPr>
        <w:t>Confidence: Medium.</w:t>
      </w:r>
    </w:p>
    <w:p>
      <w:pPr>
        <w:pStyle w:val="ListBullet"/>
      </w:pPr>
      <w:r>
        <w:rPr>
          <w:b/>
          <w:color w:val="222B33"/>
          <w:sz w:val="21"/>
        </w:rPr>
        <w:t>SOM (Y1–Y3): ₹5–5.6 Cr ARR, ~100 customers by end of Y3 — adopted as the official operating-plan target.</w:t>
      </w:r>
      <w:r>
        <w:rPr>
          <w:color w:val="222B33"/>
          <w:sz w:val="21"/>
        </w:rPr>
        <w:t xml:space="preserve"> An independent bottom-up org-count × ACV method produced a higher figure ($1.0–1.3M ≈ ₹8.5–11 Cr); after cross-review, all three agents whose domains touch this number agreed the higher figure is better read as an </w:t>
      </w:r>
      <w:r>
        <w:rPr>
          <w:b/>
          <w:color w:val="222B33"/>
          <w:sz w:val="21"/>
        </w:rPr>
        <w:t>upside ceiling</w:t>
      </w:r>
      <w:r>
        <w:rPr>
          <w:color w:val="222B33"/>
          <w:sz w:val="21"/>
        </w:rPr>
        <w:t xml:space="preserve">, not the base case — it doesn't account for seed-stage sales-capacity constraints (govt cycles of 6–9+ months, one sales hire through most of Y1–Y2). The ₹5–5.6 Cr figure is reachable with today's team-sizing plan; the ₹8.5–11 Cr ceiling becomes reachable only if a second sales hire lands by Month 18–20 (funded by the Series A proposed in Section 8.5), the BFSI vertical succeeds on its first attempt, and the regional-language gap (Section 1.2) closes by Month 18 rather than Month 24. </w:t>
      </w:r>
      <w:r>
        <w:rPr>
          <w:i/>
          <w:color w:val="222B33"/>
          <w:sz w:val="21"/>
        </w:rPr>
        <w:t>Confidence: Medium on the ₹5–5.6 Cr base case; Low on the upside ceiling's timing.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1.2 India CX Software Market Dynamics</w:t>
      </w:r>
    </w:p>
    <w:p>
      <w:r>
        <w:rPr>
          <w:color w:val="222B33"/>
          <w:sz w:val="21"/>
        </w:rPr>
        <w:t xml:space="preserve">WhatsApp-first behaviour is near-ubiquitous in India (~1.5 Cr businesses on WhatsApp Business) and is </w:t>
      </w:r>
      <w:r>
        <w:rPr>
          <w:b/>
          <w:color w:val="222B33"/>
          <w:sz w:val="21"/>
        </w:rPr>
        <w:t>table stakes, not differentiation, for private-sector buyers</w:t>
      </w:r>
      <w:r>
        <w:rPr>
          <w:color w:val="222B33"/>
          <w:sz w:val="21"/>
        </w:rPr>
        <w:t xml:space="preserve"> — the real differentiation is a </w:t>
      </w:r>
      <w:r>
        <w:rPr>
          <w:i/>
          <w:color w:val="222B33"/>
          <w:sz w:val="21"/>
        </w:rPr>
        <w:t>govt-grade</w:t>
      </w:r>
      <w:r>
        <w:rPr>
          <w:color w:val="222B33"/>
          <w:sz w:val="21"/>
        </w:rPr>
        <w:t xml:space="preserve"> WhatsApp-native workflow, where adoption is still immature. Government digitisation is real and funded (Smart Cities Mission: ₹47,652 Cr disbursed, 94% of 8,067 projects complete; CPGRAMS: 1.12 Cr grievances resolved Jan 2020–Oct 2024, average resolution time down from 28 to 13 days) — but this sets a "good enough, free, centrally-mandated baseline" that UniServe must sit </w:t>
      </w:r>
      <w:r>
        <w:rPr>
          <w:i/>
          <w:color w:val="222B33"/>
          <w:sz w:val="21"/>
        </w:rPr>
        <w:t>alongside</w:t>
      </w:r>
      <w:r>
        <w:rPr>
          <w:color w:val="222B33"/>
          <w:sz w:val="21"/>
        </w:rPr>
        <w:t xml:space="preserve">, not replace. MeitY empanelment is a structural, multi-month procurement gate for govt SaaS sales, not a checkbox. </w:t>
      </w:r>
      <w:r>
        <w:rPr>
          <w:b/>
          <w:color w:val="222B33"/>
          <w:sz w:val="21"/>
        </w:rPr>
        <w:t>DPDP Act 2023 does not mandate blanket data localisation</w:t>
      </w:r>
      <w:r>
        <w:rPr>
          <w:color w:val="222B33"/>
          <w:sz w:val="21"/>
        </w:rPr>
        <w:t xml:space="preserve"> (India adopted a conditional/"blacklist" cross-border model) — the real driver of on-prem/in-India-hosting demand is govt tender and contract </w:t>
      </w:r>
      <w:r>
        <w:rPr>
          <w:i/>
          <w:color w:val="222B33"/>
          <w:sz w:val="21"/>
        </w:rPr>
        <w:t>practice</w:t>
      </w:r>
      <w:r>
        <w:rPr>
          <w:color w:val="222B33"/>
          <w:sz w:val="21"/>
        </w:rPr>
        <w:t>, independent of the Act's actual text; UniServe's on-prem/K8s deployment capability remains commercially necessary regardless of this legal nuance. Govt budget cycles (April–March) mean a deal initiated in one fiscal year's H1 may not close for 12–24 months.</w:t>
      </w:r>
    </w:p>
    <w:p>
      <w:r>
        <w:rPr>
          <w:b/>
          <w:color w:val="222B33"/>
          <w:sz w:val="21"/>
        </w:rPr>
        <w:t>Regional-language readiness — confirmed as a total gap, with a concrete near-term fix.</w:t>
      </w:r>
      <w:r>
        <w:rPr>
          <w:color w:val="222B33"/>
          <w:sz w:val="21"/>
        </w:rPr>
        <w:t xml:space="preserve"> Direct inspection of the codebase (</w:t>
      </w:r>
      <w:r>
        <w:rPr>
          <w:rFonts w:ascii="Consolas" w:hAnsi="Consolas"/>
          <w:color w:val="222B33"/>
          <w:sz w:val="21"/>
        </w:rPr>
        <w:t>services/ai-core/app/config.py</w:t>
      </w:r>
      <w:r>
        <w:rPr>
          <w:color w:val="222B33"/>
          <w:sz w:val="21"/>
        </w:rPr>
        <w:t>) confirms PII detection is hardcoded to English (</w:t>
      </w:r>
      <w:r>
        <w:rPr>
          <w:rFonts w:ascii="Consolas" w:hAnsi="Consolas"/>
          <w:color w:val="222B33"/>
          <w:sz w:val="21"/>
        </w:rPr>
        <w:t>presidio_language: "en"</w:t>
      </w:r>
      <w:r>
        <w:rPr>
          <w:color w:val="222B33"/>
          <w:sz w:val="21"/>
        </w:rPr>
        <w:t xml:space="preserve">), with no language-detection or multi-language classification path anywhere in the AI pipeline — the one Tamil-related reference found in the whole codebase is an unrelated BBC Tamil news-feed widget on the login page, not an NLP capability. This is not merely a soft product gap: for tender-based (not direct-negotiation) government procurement routes, vernacular support is often a </w:t>
      </w:r>
      <w:r>
        <w:rPr>
          <w:b/>
          <w:color w:val="222B33"/>
          <w:sz w:val="21"/>
        </w:rPr>
        <w:t>scored or mandatory eligibility criterion</w:t>
      </w:r>
      <w:r>
        <w:rPr>
          <w:color w:val="222B33"/>
          <w:sz w:val="21"/>
        </w:rPr>
        <w:t xml:space="preserve">, particularly outside metro/English-first Tier-1 PSUs — its absence can disqualify UniServe from a subset of the ~200-org addressable base, or depress achievable price. Recommended fix: a </w:t>
      </w:r>
      <w:r>
        <w:rPr>
          <w:b/>
          <w:color w:val="222B33"/>
          <w:sz w:val="21"/>
        </w:rPr>
        <w:t>translation-layer approach</w:t>
      </w:r>
      <w:r>
        <w:rPr>
          <w:color w:val="222B33"/>
          <w:sz w:val="21"/>
        </w:rPr>
        <w:t xml:space="preserve"> (translate incoming text to English ahead of the existing pipeline, translate replies back) — low effort, days-to-weeks of engineering plus a small marginal per-message API cost — rather than native regional-language NLP (IndicBERT-style fine-tuning), which is multi-month and not realistic pre-Series-A. </w:t>
      </w:r>
      <w:r>
        <w:rPr>
          <w:b/>
          <w:color w:val="222B33"/>
          <w:sz w:val="21"/>
        </w:rPr>
        <w:t>Timeline gate: Hindi support by Month 9</w:t>
      </w:r>
      <w:r>
        <w:rPr>
          <w:color w:val="222B33"/>
          <w:sz w:val="21"/>
        </w:rPr>
        <w:t xml:space="preserve"> (must be true before the first non-Tamil-Nadu state is signed), with two more regional languages (matched to whichever states rank highest by utility spend — see Section 6) hardened by </w:t>
      </w:r>
      <w:r>
        <w:rPr>
          <w:b/>
          <w:color w:val="222B33"/>
          <w:sz w:val="21"/>
        </w:rPr>
        <w:t>Month 18</w:t>
      </w:r>
      <w:r>
        <w:rPr>
          <w:color w:val="222B33"/>
          <w:sz w:val="21"/>
        </w:rPr>
        <w:t>, before Phase 3 national scale begins. Until Hindi lands, sequence beachhead targets toward English-comfortable, metro-adjacent utilities first.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1.3 Competitive Landscape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India Position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Price (₹/agent/mo)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WhatsApp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Govt/On-prem</w:t>
            </w:r>
          </w:p>
        </w:tc>
        <w:tc>
          <w:tcPr>
            <w:tcW w:type="dxa" w:w="1345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Exploitable Weakness</w:t>
            </w:r>
          </w:p>
        </w:tc>
      </w:tr>
      <w:tr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Freshworks (Freshdesk)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Largest dedicated-helpdesk share in India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~999–5,999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Strong, native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Cloud-first, not govt-tuned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No govt procurement/empanelment motion; pricing scales poorly for high-agent PSU deployments</w:t>
            </w:r>
          </w:p>
        </w:tc>
      </w:tr>
      <w:tr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Zoho Desk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1/2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Deepest India price undercutting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~720–2,800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Good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Some PSU wins via bundling, not on-prem-first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Broad horizontal CRM = shallow complaint-specific depth (dedup, configurable priority rubric)</w:t>
            </w:r>
          </w:p>
        </w:tc>
      </w:tr>
      <w:tr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Zendesk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Enterprise/GCC accounts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~4,500–12,000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Adequate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Minimal India govt motion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Priced out of Indian govt/SME budgets</w:t>
            </w:r>
          </w:p>
        </w:tc>
      </w:tr>
      <w:tr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Salesforce Service Cloud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Large BFSI/enterprise only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High enterprise ACV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Via add-ons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India DCs exist, rarely PSU (cost)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Cost/complexity irrelevant to UniServe's realistic SAM</w:t>
            </w:r>
          </w:p>
        </w:tc>
      </w:tr>
      <w:tr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MS Dynamics 365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Enterprise, MS-stack accounts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High enterprise ACV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Via connectors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Azure India regions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Same as Salesforce — too heavy for target segment</w:t>
            </w:r>
          </w:p>
        </w:tc>
      </w:tr>
      <w:tr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Kapture CX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India-focused, BFSI/retail/D2C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~1,500–3,500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Reasonable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No confirmed govt/on-prem push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Closest positioning overlap; lacks govt-vertical specialisation, AI dedup/priority depth</w:t>
            </w:r>
          </w:p>
        </w:tc>
      </w:tr>
      <w:tr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Exotel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Voice/IVR-first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Usage-based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N/A (integrates)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India infra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Potential Phase 2 channel/integration partner, not a direct competitor</w:t>
            </w:r>
          </w:p>
        </w:tc>
      </w:tr>
      <w:tr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NICE CXone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Enterprise contact centers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High, usage-based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Available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Not India-tuned</w:t>
            </w:r>
          </w:p>
        </w:tc>
        <w:tc>
          <w:tcPr>
            <w:tcW w:type="dxa" w:w="1345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Overkill/overpriced for UniServe's segment</w:t>
            </w:r>
          </w:p>
        </w:tc>
      </w:tr>
      <w:tr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CPGRAMS / state NIC portals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3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De facto mandated baseline for govt grievances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Free (public infra)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Minimal/none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Fully govt-hosted by definition</w:t>
            </w:r>
          </w:p>
        </w:tc>
        <w:tc>
          <w:tcPr>
            <w:tcW w:type="dxa" w:w="134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 xml:space="preserve">No AI classification/dedup/prioritisation, poor UX, no configurable per-tenant intake — </w:t>
            </w:r>
            <w:r>
              <w:rPr>
                <w:b/>
                <w:color w:val="222B33"/>
                <w:sz w:val="18"/>
              </w:rPr>
              <w:t>UniServe's clearest wedge</w:t>
            </w:r>
            <w:r>
              <w:rPr>
                <w:color w:val="222B33"/>
                <w:sz w:val="18"/>
              </w:rPr>
              <w:t>: sit alongside CPGRAMS reporting obligations as the departmental/utility workflow layer, not a replacement</w:t>
            </w:r>
          </w:p>
        </w:tc>
      </w:tr>
    </w:tbl>
    <w:p/>
    <w:p>
      <w:r>
        <w:rPr>
          <w:b/>
          <w:color w:val="222B33"/>
          <w:sz w:val="21"/>
        </w:rPr>
        <w:t>Positioning:</w:t>
      </w:r>
      <w:r>
        <w:rPr>
          <w:color w:val="222B33"/>
          <w:sz w:val="21"/>
        </w:rPr>
        <w:t xml:space="preserve"> the defensible gap is between generic private-sector helpdesk tools (cheaper, better funded, already trusted) and clunky govt-built grievance portals (free but AI-less, UX-poor). UniServe's edge: AI-native classification/dedup/prioritisation + on-prem/MeitY-compliant deployment + WhatsApp-first + utility/PSU-tuned workflow. </w:t>
      </w:r>
      <w:r>
        <w:rPr>
          <w:i/>
          <w:color w:val="222B33"/>
          <w:sz w:val="21"/>
        </w:rPr>
        <w:t>Confidence: Medium — a reasoned inference from competitive gaps, not yet customer-validated.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1.4 Market Timing</w:t>
      </w:r>
    </w:p>
    <w:p>
      <w:r>
        <w:rPr>
          <w:b/>
          <w:color w:val="222B33"/>
          <w:sz w:val="21"/>
        </w:rPr>
        <w:t>Rating: Right Time.</w:t>
      </w:r>
      <w:r>
        <w:rPr>
          <w:color w:val="222B33"/>
          <w:sz w:val="21"/>
        </w:rPr>
        <w:t xml:space="preserve"> For the govt/PSU wedge specifically, this rating is based on </w:t>
      </w:r>
      <w:r>
        <w:rPr>
          <w:b/>
          <w:color w:val="222B33"/>
          <w:sz w:val="21"/>
        </w:rPr>
        <w:t>category-level readiness</w:t>
      </w:r>
      <w:r>
        <w:rPr>
          <w:color w:val="222B33"/>
          <w:sz w:val="21"/>
        </w:rPr>
        <w:t xml:space="preserve"> — AI-Mission budget growth (₹173 Cr → ₹2,000 Cr in one year), sustained govt digitisation funding, and WhatsApp-native govt tooling still being immature — and explicitly </w:t>
      </w:r>
      <w:r>
        <w:rPr>
          <w:b/>
          <w:color w:val="222B33"/>
          <w:sz w:val="21"/>
        </w:rPr>
        <w:t>does not depend on, and should not be read as implying, any existing relationship with any specific government body</w:t>
      </w:r>
      <w:r>
        <w:rPr>
          <w:color w:val="222B33"/>
          <w:sz w:val="21"/>
        </w:rPr>
        <w:t xml:space="preserve"> (see Section 5's TNEB clarification). Arriving later risks CPGRAMS-adjacent NIC tooling or Freshworks/Zoho closing the AI/WhatsApp gap themselves. For the private SME wedge, timing is less exceptional — WhatsApp support is now expected-by-default and already served adequately by Freshdesk/Zoho.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2. Target Segments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2.1 Segment Ranking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Addressable Orgs (India)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Sales Cycle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Government Utilities (DISCOM/water/municipal)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Primary/Beachhead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~200 realistic near-term (55–70 discoms + ~35 water boards + ~100 large municipal corps)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9–18 mo (or ~6mo via pilot-first entry)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Product architecture already built for this (on-prem, DPDP-aware, RBAC matches PSU hierarchy); real regulatory forcing function (SERC-mandated CGRF)</w:t>
            </w:r>
          </w:p>
        </w:tc>
      </w:tr>
      <w:tr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 xml:space="preserve">BFSI — </w:t>
            </w:r>
            <w:r>
              <w:rPr>
                <w:b/>
                <w:color w:val="222B33"/>
                <w:sz w:val="18"/>
              </w:rPr>
              <w:t>mid-market only</w:t>
            </w:r>
            <w:r>
              <w:rPr>
                <w:color w:val="222B33"/>
                <w:sz w:val="18"/>
              </w:rPr>
              <w:t xml:space="preserve"> (NBFC/SFB/coop banks)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Secondary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~600–800 right-sized orgs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4–8 mo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 xml:space="preserve">RBI Integrated Ombudsman Scheme creates real regulatory pull; faster decisions, higher WTP than govt. </w:t>
            </w:r>
            <w:r>
              <w:rPr>
                <w:b/>
                <w:color w:val="222B33"/>
                <w:sz w:val="18"/>
              </w:rPr>
              <w:t>Large banks (12–24mo cycle) are explicitly excluded from this "secondary" designation</w:t>
            </w:r>
            <w:r>
              <w:rPr>
                <w:color w:val="222B33"/>
                <w:sz w:val="18"/>
              </w:rPr>
              <w:t xml:space="preserve"> — their cycle is as slow as govt with heavier vendor-risk diligence and no pilot-friendliness; treating undifferentiated "BFSI" as a speed advantage would mislead the GTM plan</w:t>
            </w:r>
          </w:p>
        </w:tc>
      </w:tr>
      <w:tr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3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Healthcare (hospital chains)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Tertiary (promising)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~1,500–2,000 facilities, ~25–30 chains as anchors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6–12 mo chain HQ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NABH accreditation creates genuine compliance pull; fragmented buyer, small budgets, anonymity-handling adds engineering burden</w:t>
            </w:r>
          </w:p>
        </w:tc>
      </w:tr>
      <w:tr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4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E-commerce/Retail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Tertiary (opportunistic)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~3,000–5,000 funded brands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2–6 weeks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Best channel fit (WhatsApp-heavy), fastest close, but crowded with cheap incumbents (Interakt, WATI, Gallabox) and low WTP — a volume/self-serve play, not a beachhead</w:t>
            </w:r>
          </w:p>
        </w:tc>
      </w:tr>
      <w:tr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5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Telecom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Deprioritise for now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~4–6 total logos nationally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24+ months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TRAI mandate real, but market is 4–6 accounts requiring deep OSS/BSS integration and SI-mediated mega-contracts — bad risk/reward pre-scale; revisit Phase 3</w:t>
            </w:r>
          </w:p>
        </w:tc>
      </w:tr>
    </w:tbl>
    <w:p/>
    <w:p>
      <w:r>
        <w:rPr>
          <w:b/>
          <w:color w:val="222B33"/>
          <w:sz w:val="21"/>
        </w:rPr>
        <w:t>Recommended beachhead: Government Utilities.</w:t>
      </w:r>
      <w:r>
        <w:rPr>
          <w:color w:val="222B33"/>
          <w:sz w:val="21"/>
        </w:rPr>
        <w:t xml:space="preserve"> Architecture fit, lateral replicability across state PSUs (which benchmark each other's RFPs), and real regulatory pull. </w:t>
      </w:r>
      <w:r>
        <w:rPr>
          <w:b/>
          <w:color w:val="222B33"/>
          <w:sz w:val="21"/>
        </w:rPr>
        <w:t>Confirmed caveat:</w:t>
      </w:r>
      <w:r>
        <w:rPr>
          <w:color w:val="222B33"/>
          <w:sz w:val="21"/>
        </w:rPr>
        <w:t xml:space="preserve"> Segment A alone cannot fund the company through 9–18-month sales cycles with 60–180-day payment-delay risk — </w:t>
      </w:r>
      <w:r>
        <w:rPr>
          <w:b/>
          <w:color w:val="222B33"/>
          <w:sz w:val="21"/>
        </w:rPr>
        <w:t>BFSI mid-market specifically</w:t>
      </w:r>
      <w:r>
        <w:rPr>
          <w:color w:val="222B33"/>
          <w:sz w:val="21"/>
        </w:rPr>
        <w:t xml:space="preserve"> (not large banks) should run as a concurrent "second engine," not a strictly sequential Phase 2 entry.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2.2 Buyer Personas</w:t>
      </w:r>
    </w:p>
    <w:p>
      <w:r>
        <w:rPr>
          <w:b/>
          <w:color w:val="222B33"/>
          <w:sz w:val="21"/>
        </w:rPr>
        <w:t>Persona 1 — Government Utility:</w:t>
      </w:r>
      <w:r>
        <w:rPr>
          <w:color w:val="222B33"/>
          <w:sz w:val="21"/>
        </w:rPr>
        <w:t xml:space="preserve"> R. Meenakshisundaram, CGM (IT &amp; Consumer Services), state discom, ~1.2 Cr consumers. </w:t>
      </w:r>
      <w:r>
        <w:rPr>
          <w:i/>
          <w:color w:val="222B33"/>
          <w:sz w:val="21"/>
        </w:rPr>
        <w:t>Pain:</w:t>
      </w:r>
      <w:r>
        <w:rPr>
          <w:color w:val="222B33"/>
          <w:sz w:val="21"/>
        </w:rPr>
        <w:t xml:space="preserve"> complaints fragmented across 6+ disconnected channels (IVR, physical registers, ad-hoc WhatsApp, legacy web portal, MLA escalations); no CGRF compliance reporting without a week of manual Excel work. </w:t>
      </w:r>
      <w:r>
        <w:rPr>
          <w:i/>
          <w:color w:val="222B33"/>
          <w:sz w:val="21"/>
        </w:rPr>
        <w:t>Measured on:</w:t>
      </w:r>
      <w:r>
        <w:rPr>
          <w:color w:val="222B33"/>
          <w:sz w:val="21"/>
        </w:rPr>
        <w:t xml:space="preserve"> CGRF compliance %, TAT reported to SERC, audit findings. </w:t>
      </w:r>
      <w:r>
        <w:rPr>
          <w:i/>
          <w:color w:val="222B33"/>
          <w:sz w:val="21"/>
        </w:rPr>
        <w:t>Fear:</w:t>
      </w:r>
      <w:r>
        <w:rPr>
          <w:color w:val="222B33"/>
          <w:sz w:val="21"/>
        </w:rPr>
        <w:t xml:space="preserve"> missed SERC TAT triggering penalty, a viral complaint reaching the Minister's office first, a CAG audit flagging no auditable trail. </w:t>
      </w:r>
      <w:r>
        <w:rPr>
          <w:i/>
          <w:color w:val="222B33"/>
          <w:sz w:val="21"/>
        </w:rPr>
        <w:t>Says yes:</w:t>
      </w:r>
      <w:r>
        <w:rPr>
          <w:color w:val="222B33"/>
          <w:sz w:val="21"/>
        </w:rPr>
        <w:t xml:space="preserve"> peer-referenceable discom already live, pilot fits his own delegated authority (&lt;₹5L, no Board needed), airtight on-prem/data-localisation story, STQC/MeitY documentation ready. </w:t>
      </w:r>
      <w:r>
        <w:rPr>
          <w:i/>
          <w:color w:val="222B33"/>
          <w:sz w:val="21"/>
        </w:rPr>
        <w:t>Buying process:</w:t>
      </w:r>
      <w:r>
        <w:rPr>
          <w:color w:val="222B33"/>
          <w:sz w:val="21"/>
        </w:rPr>
        <w:t xml:space="preserve"> Champion (CGM-IT) → Finance concurrence → technical evaluation committee → GeM/tender or single-vendor justification if piloted → Board/MD approval above threshold → scheme-fund administrative approval → PO, often fiscal-year-delayed.</w:t>
      </w:r>
    </w:p>
    <w:p>
      <w:r>
        <w:rPr>
          <w:b/>
          <w:color w:val="222B33"/>
          <w:sz w:val="21"/>
        </w:rPr>
        <w:t>Persona 2 — BFSI (mid-market):</w:t>
      </w:r>
      <w:r>
        <w:rPr>
          <w:color w:val="222B33"/>
          <w:sz w:val="21"/>
        </w:rPr>
        <w:t xml:space="preserve"> Priya Nair, Head of CX &amp; Grievance Redressal, mid-size SFB/NBFC, ~150 branches. </w:t>
      </w:r>
      <w:r>
        <w:rPr>
          <w:i/>
          <w:color w:val="222B33"/>
          <w:sz w:val="21"/>
        </w:rPr>
        <w:t>Pain:</w:t>
      </w:r>
      <w:r>
        <w:rPr>
          <w:color w:val="222B33"/>
          <w:sz w:val="21"/>
        </w:rPr>
        <w:t xml:space="preserve"> RBI CMS filing is a manual data-wrangling exercise across Excel + a generic Freshdesk/Zoho instance not built for RBI's escalation matrix; no cross-channel dedup. </w:t>
      </w:r>
      <w:r>
        <w:rPr>
          <w:i/>
          <w:color w:val="222B33"/>
          <w:sz w:val="21"/>
        </w:rPr>
        <w:t>Fear:</w:t>
      </w:r>
      <w:r>
        <w:rPr>
          <w:color w:val="222B33"/>
          <w:sz w:val="21"/>
        </w:rPr>
        <w:t xml:space="preserve"> RBI inspection finding a TAT breach or missing audit trail; a systemic issue hidden by lack of pattern analysis. </w:t>
      </w:r>
      <w:r>
        <w:rPr>
          <w:i/>
          <w:color w:val="222B33"/>
          <w:sz w:val="21"/>
        </w:rPr>
        <w:t>Says yes:</w:t>
      </w:r>
      <w:r>
        <w:rPr>
          <w:color w:val="222B33"/>
          <w:sz w:val="21"/>
        </w:rPr>
        <w:t xml:space="preserve"> product configurable to RBI's category taxonomy out of the box, credible dedup story, lightweight security review, opex not capex pricing. </w:t>
      </w:r>
      <w:r>
        <w:rPr>
          <w:i/>
          <w:color w:val="222B33"/>
          <w:sz w:val="21"/>
        </w:rPr>
        <w:t>Buying process:</w:t>
      </w:r>
      <w:r>
        <w:rPr>
          <w:color w:val="222B33"/>
          <w:sz w:val="21"/>
        </w:rPr>
        <w:t xml:space="preserve"> CX head identifies gap (often RBI-circular-triggered) → vendor shortlist/demo → CISO sign-off → compliance mapping → COO/Finance approval → procurement/legal → pilot on 1-2 branches → full rollout — can close in a single fiscal quarter.</w:t>
      </w:r>
    </w:p>
    <w:p>
      <w:r>
        <w:rPr>
          <w:b/>
          <w:color w:val="222B33"/>
          <w:sz w:val="21"/>
        </w:rPr>
        <w:t>Persona 3 — Healthcare:</w:t>
      </w:r>
      <w:r>
        <w:rPr>
          <w:color w:val="222B33"/>
          <w:sz w:val="21"/>
        </w:rPr>
        <w:t xml:space="preserve"> Dr. Anand Kulkarni, Head of Quality &amp; Patient Experience (NABH Cell), 8-facility hospital chain, ~1,800 beds. </w:t>
      </w:r>
      <w:r>
        <w:rPr>
          <w:i/>
          <w:color w:val="222B33"/>
          <w:sz w:val="21"/>
        </w:rPr>
        <w:t>Pain:</w:t>
      </w:r>
      <w:r>
        <w:rPr>
          <w:color w:val="222B33"/>
          <w:sz w:val="21"/>
        </w:rPr>
        <w:t xml:space="preserve"> NABH accreditation scores a documented complaint mechanism; today it's suggestion boxes + manual tallying + an unused HQ-level ticketing instance; no tool distinguishes anonymous-but-trackable staff-conduct complaints. </w:t>
      </w:r>
      <w:r>
        <w:rPr>
          <w:i/>
          <w:color w:val="222B33"/>
          <w:sz w:val="21"/>
        </w:rPr>
        <w:t>Fear:</w:t>
      </w:r>
      <w:r>
        <w:rPr>
          <w:color w:val="222B33"/>
          <w:sz w:val="21"/>
        </w:rPr>
        <w:t xml:space="preserve"> a NABH surveyor flagging "no systematic complaint analysis," an anonymous complaint inadvertently exposing the complainant. </w:t>
      </w:r>
      <w:r>
        <w:rPr>
          <w:i/>
          <w:color w:val="222B33"/>
          <w:sz w:val="21"/>
        </w:rPr>
        <w:t>Says yes:</w:t>
      </w:r>
      <w:r>
        <w:rPr>
          <w:color w:val="222B33"/>
          <w:sz w:val="21"/>
        </w:rPr>
        <w:t xml:space="preserve"> demonstrable NABH documentation/audit-trail support, provable anonymity, HQ-level pricing, a peer hospital-chain reference. </w:t>
      </w:r>
      <w:r>
        <w:rPr>
          <w:i/>
          <w:color w:val="222B33"/>
          <w:sz w:val="21"/>
        </w:rPr>
        <w:t>Buying process:</w:t>
      </w:r>
      <w:r>
        <w:rPr>
          <w:color w:val="222B33"/>
          <w:sz w:val="21"/>
        </w:rPr>
        <w:t xml:space="preserve"> Quality Cell head → pilot proposal → CFO sign-off → IT/data-security review → facility-level rollout requiring Medical Superintendent buy-in → renewal tied to next NABH survey cycle.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2.3 Willingness to Pay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spend (or manual-cost equiv.)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Max acceptable ₹/agent/mo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Contract structure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Opex vs Capex</w:t>
            </w:r>
          </w:p>
        </w:tc>
      </w:tr>
      <w:tr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Govt Utilities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₹0–50L/yr depending on existing SI-delivered modules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 xml:space="preserve">₹800–2,000 </w:t>
            </w:r>
            <w:r>
              <w:rPr>
                <w:i/>
                <w:color w:val="222B33"/>
                <w:sz w:val="18"/>
              </w:rPr>
              <w:t>(back-solved reference figure only — see caveat below, not an actual quoted price)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Annual/AMC-structured, not per-seat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Traditionally capex, shifting to opex under GI Cloud/MeghRaj push</w:t>
            </w:r>
          </w:p>
        </w:tc>
      </w:tr>
      <w:tr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BFSI (mid-market)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₹5–25L/yr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₹1,000–2,500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Annual, opex-preferred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Strong opex preference</w:t>
            </w:r>
          </w:p>
        </w:tc>
      </w:tr>
      <w:tr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E-commerce/Retail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₹0–1,000/agent/mo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₹500–1,200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Monthly, self-serve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Pure opex</w:t>
            </w:r>
          </w:p>
        </w:tc>
      </w:tr>
      <w:tr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Healthcare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₹0–40L/yr (facility vs chain-HQ)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₹500–3,000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Annual, chain-level preferred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Strongly opex-preferred</w:t>
            </w:r>
          </w:p>
        </w:tc>
      </w:tr>
    </w:tbl>
    <w:p/>
    <w:p>
      <w:r>
        <w:rPr>
          <w:b/>
          <w:color w:val="222B33"/>
          <w:sz w:val="21"/>
        </w:rPr>
        <w:t>Caveat (load-bearing, not optional):</w:t>
      </w:r>
      <w:r>
        <w:rPr>
          <w:color w:val="222B33"/>
          <w:sz w:val="21"/>
        </w:rPr>
        <w:t xml:space="preserve"> the government figure is an implied unit-economic ceiling derived by back-solving a govt buyer's real annual/AMC budget into a per-seat equivalent for cross-segment comparability — </w:t>
      </w:r>
      <w:r>
        <w:rPr>
          <w:b/>
          <w:color w:val="222B33"/>
          <w:sz w:val="21"/>
        </w:rPr>
        <w:t>it is not a price format any government buyer will ever see, negotiate against, or accept quoted that way.</w:t>
      </w:r>
      <w:r>
        <w:rPr>
          <w:color w:val="222B33"/>
          <w:sz w:val="21"/>
        </w:rPr>
        <w:t xml:space="preserve"> See Section 3.3 for the actual government commercial vehicle. Regional-language readiness (Section 1.2) also affects willingness-to-pay and </w:t>
      </w:r>
      <w:r>
        <w:rPr>
          <w:i/>
          <w:color w:val="222B33"/>
          <w:sz w:val="21"/>
        </w:rPr>
        <w:t>eligibility</w:t>
      </w:r>
      <w:r>
        <w:rPr>
          <w:color w:val="222B33"/>
          <w:sz w:val="21"/>
        </w:rPr>
        <w:t>, not just product scope — where vernacular support is immature, expect either technical-eligibility disqualification for a subset of the addressable base, or downward price pressure since the buyer discounts applicability to their full agent base.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2.4 Procurement Dynamics (India)</w:t>
      </w:r>
    </w:p>
    <w:p>
      <w:r>
        <w:rPr>
          <w:color w:val="222B33"/>
          <w:sz w:val="21"/>
        </w:rPr>
        <w:t xml:space="preserve">GeM covers direct purchase to ~₹25,000, L1-bidding to ~₹5L; above that, full RFP/CPPP processes apply. PSU sanction thresholds: officer-level ~₹5L, divisional/GM-level ~₹25L, Board/MD beyond ~₹1Cr. </w:t>
      </w:r>
      <w:r>
        <w:rPr>
          <w:b/>
          <w:color w:val="222B33"/>
          <w:sz w:val="21"/>
        </w:rPr>
        <w:t>Sales implication: structure initial pilots under the officer-level threshold (&lt;₹5L) for a fast yes without Board sign-off.</w:t>
      </w:r>
      <w:r>
        <w:rPr>
          <w:color w:val="222B33"/>
          <w:sz w:val="21"/>
        </w:rPr>
        <w:t xml:space="preserve"> SIs (TCS, Infosys, Wipro, regional players) dominate large tenders as prime contractors — a niche point-solution likely cannot meet tender eligibility alone without an SI partnership. Pilot-first culture is near-universal and can be exploited as an indefinite free extension — mitigate with a small paid pilot, written success metrics, and a hard conversion clock. The reference-customer requirement ("who else uses this") is the single biggest structural obstacle in govt/PSU — mitigated by converting the first pilot to paying-referenceable status as the top commercial priority, targeting smaller/more agile PSU entities first, and using informal peer networks over vendor case studies. For tender-based routes specifically, regional-language capability can function as a </w:t>
      </w:r>
      <w:r>
        <w:rPr>
          <w:b/>
          <w:color w:val="222B33"/>
          <w:sz w:val="21"/>
        </w:rPr>
        <w:t>hard eligibility gate</w:t>
      </w:r>
      <w:r>
        <w:rPr>
          <w:color w:val="222B33"/>
          <w:sz w:val="21"/>
        </w:rPr>
        <w:t xml:space="preserve"> — a roadmap commitment to the top 3-4 state languages (Section 1.2's Month 9/18 gates) should be stated before bidding on tier-2/3 state utility tenders.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3. Pricing Strategy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3.1 Pricing Model</w:t>
      </w:r>
    </w:p>
    <w:p>
      <w:r>
        <w:rPr>
          <w:b/>
          <w:color w:val="222B33"/>
          <w:sz w:val="21"/>
        </w:rPr>
        <w:t>Hybrid: Platform fee + per-agent + included-ticket-band + overage</w:t>
      </w:r>
      <w:r>
        <w:rPr>
          <w:color w:val="222B33"/>
          <w:sz w:val="21"/>
        </w:rPr>
        <w:t xml:space="preserve">, chosen over pure per-agent (punishes the AI automation that reduces agent-hours — the product's own core value prop), pure per-ticket (unpredictable, politically sensitive for govt), or pure flat-org fee (leaves upsell on the table). Formula: </w:t>
      </w:r>
      <w:r>
        <w:rPr>
          <w:rFonts w:ascii="Consolas" w:hAnsi="Consolas"/>
          <w:color w:val="222B33"/>
          <w:sz w:val="21"/>
        </w:rPr>
        <w:t>Monthly bill = Platform Fee (tier-fixed) + (Agents × Per-Agent Rate) + max(0, Tickets − Included Band) × Overage Rate</w:t>
      </w:r>
      <w:r>
        <w:rPr>
          <w:color w:val="222B33"/>
          <w:sz w:val="21"/>
        </w:rPr>
        <w:t xml:space="preserve">. </w:t>
      </w:r>
      <w:r>
        <w:rPr>
          <w:b/>
          <w:color w:val="222B33"/>
          <w:sz w:val="21"/>
        </w:rPr>
        <w:t>This pricing model is the private/SME cloud SaaS shelf price — it is never shown to or transacted against by government buyers</w:t>
      </w:r>
      <w:r>
        <w:rPr>
          <w:color w:val="222B33"/>
          <w:sz w:val="21"/>
        </w:rPr>
        <w:t xml:space="preserve"> (see 3.3).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Platform fee (₹/mo)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Per-agent (₹/mo)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Included tickets/mo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Min. agents</w:t>
            </w:r>
          </w:p>
        </w:tc>
        <w:tc>
          <w:tcPr>
            <w:tcW w:type="dxa" w:w="1569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Includes</w:t>
            </w:r>
          </w:p>
        </w:tc>
      </w:tr>
      <w:tr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Starter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4,999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1,499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500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3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Email+WhatsApp, AI classify/route, basic priority, single-tenant dashboard, email support</w:t>
            </w:r>
          </w:p>
        </w:tc>
      </w:tr>
      <w:tr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Professional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9,999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2,499*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2,000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10</w:t>
            </w:r>
          </w:p>
        </w:tc>
        <w:tc>
          <w:tcPr>
            <w:tcW w:type="dxa" w:w="1569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+ AI dedup, SLA timers, Lead role, advanced analytics, audit trail, API access, custom intake fields</w:t>
            </w:r>
          </w:p>
        </w:tc>
      </w:tr>
      <w:tr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Enterprise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19,999 (or custom)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3,999*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10,000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25</w:t>
            </w:r>
          </w:p>
        </w:tc>
        <w:tc>
          <w:tcPr>
            <w:tcW w:type="dxa" w:w="1569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+ SSO/SAML, dedicated tenant isolation, custom SLAs, dedicated CSM, on-prem option, Phase-2 channel early access</w:t>
            </w:r>
          </w:p>
        </w:tc>
      </w:tr>
    </w:tbl>
    <w:p/>
    <w:p>
      <w:r>
        <w:rPr>
          <w:i/>
          <w:color w:val="222B33"/>
          <w:sz w:val="21"/>
        </w:rPr>
        <w:t xml:space="preserve">Launch pricing (first 12 months / ~15 logos): Starter ₹999, Professional ₹1,799, Enterprise ₹3,499 — 24-month price lock for the launch cohort in exchange for reference-logo rights. Volume discounts: &gt;10 agents 10% off, &gt;25 agents 20% off, &gt;50 agents custom (25-30% off). Annual prepay: additional ~15%. </w:t>
      </w:r>
      <w:r>
        <w:rPr>
          <w:color w:val="222B33"/>
          <w:sz w:val="21"/>
        </w:rPr>
        <w:t>Confidence: Medium — a positioning judgment, not yet market-tested; treat the first 10-15 private closes as pricing discovery.*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3.2 On-Premises Pricing</w:t>
      </w:r>
    </w:p>
    <w:p>
      <w:r>
        <w:rPr>
          <w:color w:val="222B33"/>
          <w:sz w:val="21"/>
        </w:rPr>
        <w:t xml:space="preserve">Annual term licence at </w:t>
      </w:r>
      <w:r>
        <w:rPr>
          <w:b/>
          <w:color w:val="222B33"/>
          <w:sz w:val="21"/>
        </w:rPr>
        <w:t>2.5–3x the equivalent cloud ACV</w:t>
      </w:r>
      <w:r>
        <w:rPr>
          <w:color w:val="222B33"/>
          <w:sz w:val="21"/>
        </w:rPr>
        <w:t xml:space="preserve"> + one-time implementation fee (20-25% of annual licence, Year 1 only) — the premium recovers lost recurring cloud-hosting margin, higher per-customer support cost (N bespoke environments vs. one shared fleet), heavier implementation, multi-version support burden, and lost multi-tenancy economies of scale (self-hosting the identical stack costs a customer ~₹8,750/month in dedicated compute vs. ~₹600-750/month UniServe's own shared-tenant cost). Worked example (~20-agent deployment): Year 1 TCV ≈ ₹19.8L, Year 2+ steady-state ≈ ₹16.25L/yr.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3.3 Government-Specific Pricing</w:t>
      </w:r>
    </w:p>
    <w:p>
      <w:r>
        <w:rPr>
          <w:color w:val="222B33"/>
          <w:sz w:val="21"/>
        </w:rPr>
        <w:t xml:space="preserve">A distinct flat-annual </w:t>
      </w:r>
      <w:r>
        <w:rPr>
          <w:b/>
          <w:color w:val="222B33"/>
          <w:sz w:val="21"/>
        </w:rPr>
        <w:t>"Government/PSU Edition"</w:t>
      </w:r>
      <w:r>
        <w:rPr>
          <w:color w:val="222B33"/>
          <w:sz w:val="21"/>
        </w:rPr>
        <w:t xml:space="preserve"> is the correct vehicle for government buyers — GeM/tender processes need one auditable annual figure for CAG review, not a metered per-agent bill.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Slab</w:t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Included</w:t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Annual (cloud)</w:t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Annual (on-prem)</w:t>
            </w:r>
          </w:p>
        </w:tc>
      </w:tr>
      <w:tr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Gov-Entry</w:t>
            </w:r>
            <w:r>
              <w:rPr>
                <w:color w:val="222B33"/>
                <w:sz w:val="18"/>
              </w:rPr>
              <w:t xml:space="preserve"> </w:t>
            </w:r>
            <w:r>
              <w:rPr>
                <w:i/>
                <w:color w:val="222B33"/>
                <w:sz w:val="18"/>
              </w:rPr>
              <w:t>(added on Phase 3 review — see adjudication note)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≤10 agents, 1,500 tickets/mo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₹3,50,000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₹8,75,000</w:t>
            </w:r>
          </w:p>
        </w:tc>
      </w:tr>
      <w:tr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Gov-Standard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≤30 agents, 5,000 tickets/mo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₹9,00,000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₹22,50,000</w:t>
            </w:r>
          </w:p>
        </w:tc>
      </w:tr>
      <w:tr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Gov-Scale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≤50 agents, 10,000 tickets/mo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₹14,00,000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₹35,00,000</w:t>
            </w:r>
          </w:p>
        </w:tc>
      </w:tr>
    </w:tbl>
    <w:p/>
    <w:p>
      <w:r>
        <w:rPr>
          <w:b/>
          <w:color w:val="222B33"/>
          <w:sz w:val="21"/>
        </w:rPr>
        <w:t>Adjudication note:</w:t>
      </w:r>
      <w:r>
        <w:rPr>
          <w:color w:val="222B33"/>
          <w:sz w:val="21"/>
        </w:rPr>
        <w:t xml:space="preserve"> the Customer Strategist quantified, against her own segment sizing, that the original two-slab structure (₹9L floor) is unaffordable for a meaningful share of the ~200 addressable orgs — smaller municipal bodies and tier-2/3 utilities back-solve to well under ₹9L/yr on her willingness-to-pay analysis (e.g., a 10-agent operation implies ₹96,000–₹2.4L/yr at the ₹800–2,000/agent-equivalent ceiling). The Commercial Strategist's "self-resolved" claim addressed the </w:t>
      </w:r>
      <w:r>
        <w:rPr>
          <w:i/>
          <w:color w:val="222B33"/>
          <w:sz w:val="21"/>
        </w:rPr>
        <w:t>structural</w:t>
      </w:r>
      <w:r>
        <w:rPr>
          <w:color w:val="222B33"/>
          <w:sz w:val="21"/>
        </w:rPr>
        <w:t xml:space="preserve"> mismatch (flat-annual vs. per-agent) correctly but not this </w:t>
      </w:r>
      <w:r>
        <w:rPr>
          <w:i/>
          <w:color w:val="222B33"/>
          <w:sz w:val="21"/>
        </w:rPr>
        <w:t>affordability</w:t>
      </w:r>
      <w:r>
        <w:rPr>
          <w:color w:val="222B33"/>
          <w:sz w:val="21"/>
        </w:rPr>
        <w:t xml:space="preserve"> mismatch at the smaller end. </w:t>
      </w:r>
      <w:r>
        <w:rPr>
          <w:b/>
          <w:color w:val="222B33"/>
          <w:sz w:val="21"/>
        </w:rPr>
        <w:t>Adjudicated: add the Gov-Entry tier above</w:t>
      </w:r>
      <w:r>
        <w:rPr>
          <w:color w:val="222B33"/>
          <w:sz w:val="21"/>
        </w:rPr>
        <w:t xml:space="preserve"> so the pricing architecture doesn't implicitly abandon the long tail of the addressable segment. The two original slabs (₹9L/₹14L) remain assumed in the Y1-Y3 revenue model's govt mix (Section 8.1); a </w:t>
      </w:r>
      <w:r>
        <w:rPr>
          <w:b/>
          <w:color w:val="222B33"/>
          <w:sz w:val="21"/>
        </w:rPr>
        <w:t>third, higher slab beyond ₹14L is explicitly out of scope for the base case</w:t>
      </w:r>
      <w:r>
        <w:rPr>
          <w:color w:val="222B33"/>
          <w:sz w:val="21"/>
        </w:rPr>
        <w:t xml:space="preserve"> — anything approaching/exceeding ~₹25L crosses into divisional-sanction-threshold territory and should be modeled with a longer (9–12 month) GeM/tender sales cycle in a future revision, not folded into today's numbers. Push govt buyers toward RFP/QCBS (70% technical/30% commercial) structures rather than raw GeM catalog listing where possible, since pure-price comparison puts UniServe next to generic tools that will always underprice an AI-native product. Cross-checked against PSU sanction thresholds: the ₹9L and ₹14L slabs both sit above single-officer sign-off (~₹5L) but inside divisional-level authority (~₹25L) — a divisional committee nod is needed (consistent with the 6-9 month govt cycle already assumed) but not full Board/tender escalation.</w:t>
      </w:r>
    </w:p>
    <w:p>
      <w:r>
        <w:rPr>
          <w:b/>
          <w:color w:val="222B33"/>
          <w:sz w:val="21"/>
        </w:rPr>
        <w:t>New SKU — Sovereign/Air-Gapped AI add-on (~₹2-4L/yr):</w:t>
      </w:r>
      <w:r>
        <w:rPr>
          <w:color w:val="222B33"/>
          <w:sz w:val="21"/>
        </w:rPr>
        <w:t xml:space="preserve"> surfaced during commercial review as a gap — the current architecture's LLM calls assume an external OpenAI endpoint, which a data-residency-sensitive govt buyer requiring an air-gapped network cannot reach. This forces either a self-hosted open-weight model or a sovereign-cloud LLM API, both flipping the cost structure from low-fixed/variable-per-call to high-fixed/lower-marginal. Do not silently absorb this into the Government Edition slabs — price it as a separate add-on, and flag it as a pricing risk (Section 9), not an assumption.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3.4 Competitive Positioning on Price</w:t>
      </w:r>
    </w:p>
    <w:p>
      <w:r>
        <w:rPr>
          <w:color w:val="222B33"/>
          <w:sz w:val="21"/>
        </w:rPr>
        <w:t>UniServe's cloud list (₹1,499–3,999/agent/mo) sits deliberately mid-market: a premium over Zoho (₹720–2,800) and Kapture (₹1,500–3,500), overlapping Freshdesk's upper tiers, and 25-65% below Zendesk (₹4,500–12,000) — defensible once the AI-native WhatsApp-to-ticket demo is shown, not at the commodity floor.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4. Phase Rollout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Segment Focus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Geography</w:t>
            </w:r>
          </w:p>
        </w:tc>
        <w:tc>
          <w:tcPr>
            <w:tcW w:type="dxa" w:w="1882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Milestone (official)</w:t>
            </w:r>
          </w:p>
        </w:tc>
      </w:tr>
      <w:tr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1 — Beachhead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Months 1–6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State electricity DISCOMs, mid-size circles (not the largest state boards first)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Tamil Nadu (base of operations) + opportunistic adjacent state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3 paying customers, ₹15–30L combined ARR</w:t>
            </w:r>
          </w:p>
        </w:tc>
      </w:tr>
      <w:tr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2 — Expansion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Months 7–18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+ Water/municipal utility grievance cells; + BFSI mid-market (RBI-mandated) entering late in phase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4–5 states: TN + Karnataka + Maharashtra + one water-board state (Gujarat)</w:t>
            </w:r>
          </w:p>
        </w:tc>
        <w:tc>
          <w:tcPr>
            <w:tcW w:type="dxa" w:w="1882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20 paying customers, ₹1 Cr ARR by Month 18</w:t>
            </w:r>
            <w:r>
              <w:rPr>
                <w:color w:val="222B33"/>
                <w:sz w:val="18"/>
              </w:rPr>
              <w:t xml:space="preserve"> (official); ~28-30 customers, ₹1.6–2.5 Cr ARR by Month 24 (range reflects mix/partner-channel-productivity dependency — see adjudication note)</w:t>
            </w:r>
          </w:p>
        </w:tc>
      </w:tr>
      <w:tr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3 — Scale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Months 19–36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+ Telecom (TRAI-mandated) + Healthcare; enterprise/govt motion prioritised over SME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10+ states national footprint; GCC exploratory only</w:t>
            </w:r>
          </w:p>
        </w:tc>
        <w:tc>
          <w:tcPr>
            <w:tcW w:type="dxa" w:w="1882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₹5–5.6 Cr ARR, ~100 customers (base case); ₹8.5–11 Cr reachable only as upside — see Section 1.1</w:t>
            </w:r>
          </w:p>
        </w:tc>
      </w:tr>
    </w:tbl>
    <w:p/>
    <w:p>
      <w:r>
        <w:rPr>
          <w:b/>
          <w:color w:val="222B33"/>
          <w:sz w:val="21"/>
        </w:rPr>
        <w:t>Adjudication note (Month 18/24 pacing):</w:t>
      </w:r>
      <w:r>
        <w:rPr>
          <w:color w:val="222B33"/>
          <w:sz w:val="21"/>
        </w:rPr>
        <w:t xml:space="preserve"> during review, the Commercial Strategist independently revised the underlying revenue model down from ~37 customers to ~28-30 by Month 24 (agreeing with the Growth Strategist's implementation-throughput-constrained view), but the two models still disagree on ARR at that count (₹2.3-2.5 Cr vs. ₹1.6-1.9 Cr) because of differing ACV-mix and partner-channel-ramp-speed assumptions. Rather than force false precision, this document carries the Month 18 milestone (20 customers/₹1 Cr ARR) as the single official near-term target, and presents Month 24 as a range contingent on (a) how many Government Edition slab wins vs. smaller private logos make up the mix, and (b) whether the first SI/channel partnership produces closed deals within 2-3 quarters of signing (the Growth Strategist's stated realistic lag) or faster.</w:t>
      </w:r>
    </w:p>
    <w:p>
      <w:r>
        <w:rPr>
          <w:b/>
          <w:color w:val="222B33"/>
          <w:sz w:val="21"/>
        </w:rPr>
        <w:t>Phase 1 detail:</w:t>
      </w:r>
      <w:r>
        <w:rPr>
          <w:color w:val="222B33"/>
          <w:sz w:val="21"/>
        </w:rPr>
        <w:t xml:space="preserve"> Lead with one visceral, measurable use case — consumer billing/outage complaint intake + auto-triage + WhatsApp status updates ("your call centre loses/duplicates 30-40% of complaints") — not the full platform pitch. Key activities: build a reusable </w:t>
      </w:r>
      <w:r>
        <w:rPr>
          <w:b/>
          <w:color w:val="222B33"/>
          <w:sz w:val="21"/>
        </w:rPr>
        <w:t>offline reference-simulation demo from the TNEB-pattern work</w:t>
      </w:r>
      <w:r>
        <w:rPr>
          <w:color w:val="222B33"/>
          <w:sz w:val="21"/>
        </w:rPr>
        <w:t xml:space="preserve"> (see Section 5 for why this must not be framed as a live pilot); approach 15-20 target accounts via the IIT Pravartak network and state e-governance cells; run 2-3 pilots in parallel, convert 1-2 to paid by Month 5-6; have a 1-page compliance dossier (DPDP, on-prem, MeitY roadmap) ready before any commercial conversation; provide dedicated implementation hand-holding (pilots die from lack of support, not lack of features). </w:t>
      </w:r>
      <w:r>
        <w:rPr>
          <w:b/>
          <w:color w:val="222B33"/>
          <w:sz w:val="21"/>
        </w:rPr>
        <w:t>Kill criteria:</w:t>
      </w:r>
      <w:r>
        <w:rPr>
          <w:color w:val="222B33"/>
          <w:sz w:val="21"/>
        </w:rPr>
        <w:t xml:space="preserve"> zero paid conversions from pilots by Month 6 AND fewer than 2 active pilots AND no state e-governance department willing to even discuss a pilot → pivot the entry vertical (e.g., a telecom regional ISP, insurance TPA, or consumer brand) before spending further runway on govt cycles. </w:t>
      </w:r>
      <w:r>
        <w:rPr>
          <w:b/>
          <w:color w:val="222B33"/>
          <w:sz w:val="21"/>
        </w:rPr>
        <w:t>This kill-criteria risk should be weighted as higher-probability than in earlier drafts</w:t>
      </w:r>
      <w:r>
        <w:rPr>
          <w:color w:val="222B33"/>
          <w:sz w:val="21"/>
        </w:rPr>
        <w:t>, now that the TNEB-relationship correction (Section 5) removes any assumed head-start on Phase 1 velocity.</w:t>
      </w:r>
    </w:p>
    <w:p>
      <w:r>
        <w:rPr>
          <w:b/>
          <w:color w:val="222B33"/>
          <w:sz w:val="21"/>
        </w:rPr>
        <w:t>Phase 2 detail:</w:t>
      </w:r>
      <w:r>
        <w:rPr>
          <w:color w:val="222B33"/>
          <w:sz w:val="21"/>
        </w:rPr>
        <w:t xml:space="preserve"> Product additions required: Twitter/IVR channel, field-level AES-256-GCM encryption (hard requirement once BFSI enters), SMS/webhook notifications, configurable rubric templates per vertical (the single biggest engineering lift), and the regional-language translation layer (Section 1.2 gates). Team additions: a dedicated non-founder govt/enterprise sales lead, 2-3 implementation/CS engineers, a first dedicated support engineer, a compliance/certifications owner, </w:t>
      </w:r>
      <w:r>
        <w:rPr>
          <w:b/>
          <w:color w:val="222B33"/>
          <w:sz w:val="21"/>
        </w:rPr>
        <w:t>and 2-3 of the 20-28 total Phase 2 headcount slots earmarked specifically for NLP/linguistic resourcing</w:t>
      </w:r>
      <w:r>
        <w:rPr>
          <w:color w:val="222B33"/>
          <w:sz w:val="21"/>
        </w:rPr>
        <w:t>, not generic engineering. Begin one SI/govt-tech VAR partnership, piloted on 2-3 joint deals — expect its first closed deal 2-3 quarters after signing, not immediately.</w:t>
      </w:r>
    </w:p>
    <w:p>
      <w:r>
        <w:rPr>
          <w:b/>
          <w:color w:val="222B33"/>
          <w:sz w:val="21"/>
        </w:rPr>
        <w:t>Phase 3 detail:</w:t>
      </w:r>
      <w:r>
        <w:rPr>
          <w:color w:val="222B33"/>
          <w:sz w:val="21"/>
        </w:rPr>
        <w:t xml:space="preserve"> Enterprise/govt motion prioritised over SME self-serve (already owned by Zoho/Freshdesk; UniServe's compliance-heavy architecture is overbuilt for SME). International limited to a single GCC pilot-market experiment (&lt;10% of Y3 revenue). Platform play (API-first, marketplace of vertical AI-agent rubrics) begins only after ≥2-3 verticals have proven configurability without bespoke engineering.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5. Penetration Strategy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5.1 Entry Wedge — and a required correction on TNEB</w:t>
      </w:r>
    </w:p>
    <w:p>
      <w:r>
        <w:rPr>
          <w:color w:val="222B33"/>
          <w:sz w:val="21"/>
        </w:rPr>
        <w:t xml:space="preserve">The defensible entry point is </w:t>
      </w:r>
      <w:r>
        <w:rPr>
          <w:b/>
          <w:color w:val="222B33"/>
          <w:sz w:val="21"/>
        </w:rPr>
        <w:t>regulatory-mandated grievance SLA compliance risk</w:t>
      </w:r>
      <w:r>
        <w:rPr>
          <w:color w:val="222B33"/>
          <w:sz w:val="21"/>
        </w:rPr>
        <w:t>, not electricity-specific tuning per se — the underlying complaint pattern (high-volume, low-complexity, multi-channel, dedup-heavy) recurs across DISCOMs, water boards, and eventually BFSI/Telecom.</w:t>
      </w:r>
    </w:p>
    <w:p>
      <w:r>
        <w:rPr>
          <w:b/>
          <w:color w:val="222B33"/>
          <w:sz w:val="21"/>
        </w:rPr>
        <w:t>Correction, reached by consensus across all four analysts during review:</w:t>
      </w:r>
      <w:r>
        <w:rPr>
          <w:color w:val="222B33"/>
          <w:sz w:val="21"/>
        </w:rPr>
        <w:t xml:space="preserve"> earlier drafts of this analysis referred to "TNEB" using language like "pilot" or "reference-in-waiting," which could be read as implying an existing commercial or political relationship. </w:t>
      </w:r>
      <w:r>
        <w:rPr>
          <w:b/>
          <w:color w:val="222B33"/>
          <w:sz w:val="21"/>
        </w:rPr>
        <w:t>This is factually incorrect and has been corrected.</w:t>
      </w:r>
      <w:r>
        <w:rPr>
          <w:color w:val="222B33"/>
          <w:sz w:val="21"/>
        </w:rPr>
        <w:t xml:space="preserve"> Cross-checked directly against </w:t>
      </w:r>
      <w:r>
        <w:rPr>
          <w:rFonts w:ascii="Consolas" w:hAnsi="Consolas"/>
          <w:color w:val="222B33"/>
          <w:sz w:val="21"/>
        </w:rPr>
        <w:t>marketing/UniServe_IMC_Strategy.md</w:t>
      </w:r>
      <w:r>
        <w:rPr>
          <w:color w:val="222B33"/>
          <w:sz w:val="21"/>
        </w:rPr>
        <w:t xml:space="preserve">: TNEB is documented there as firsthand founder observation at a Tamil Nadu Electricity Board customer-care/social-media desk — an origin story and architectural validation that the product's complaint taxonomy and SLA model fit a real discom's workflow — </w:t>
      </w:r>
      <w:r>
        <w:rPr>
          <w:b/>
          <w:color w:val="222B33"/>
          <w:sz w:val="21"/>
        </w:rPr>
        <w:t>explicitly not a customer, deployment, contract, or endorsement</w:t>
      </w:r>
      <w:r>
        <w:rPr>
          <w:color w:val="222B33"/>
          <w:sz w:val="21"/>
        </w:rPr>
        <w:t xml:space="preserve">, with an explicit instruction never to imply affiliation. All prior "pilot"/"reference-in-waiting" language is replaced throughout this document with </w:t>
      </w:r>
      <w:r>
        <w:rPr>
          <w:b/>
          <w:color w:val="222B33"/>
          <w:sz w:val="21"/>
        </w:rPr>
        <w:t>"TNEB-type reference utility"</w:t>
      </w:r>
      <w:r>
        <w:rPr>
          <w:color w:val="222B33"/>
          <w:sz w:val="21"/>
        </w:rPr>
        <w:t xml:space="preserve"> or </w:t>
      </w:r>
      <w:r>
        <w:rPr>
          <w:b/>
          <w:color w:val="222B33"/>
          <w:sz w:val="21"/>
        </w:rPr>
        <w:t>"product-market-fit rehearsal."</w:t>
      </w:r>
      <w:r>
        <w:rPr>
          <w:color w:val="222B33"/>
          <w:sz w:val="21"/>
        </w:rPr>
        <w:t xml:space="preserve"> This is flagged as a </w:t>
      </w:r>
      <w:r>
        <w:rPr>
          <w:b/>
          <w:color w:val="222B33"/>
          <w:sz w:val="21"/>
        </w:rPr>
        <w:t>reputational/compliance-adjacent risk</w:t>
      </w:r>
      <w:r>
        <w:rPr>
          <w:color w:val="222B33"/>
          <w:sz w:val="21"/>
        </w:rPr>
        <w:t xml:space="preserve"> (Section 9) — overstating an existing government relationship in fundraising or sales collateral built from earlier drafts of this analysis would be a real credibility risk in Indian govt-tech sales, not just an internal modeling error, and any such materials should be checked before external use.</w:t>
      </w:r>
    </w:p>
    <w:p>
      <w:r>
        <w:rPr>
          <w:b/>
          <w:color w:val="222B33"/>
          <w:sz w:val="21"/>
        </w:rPr>
        <w:t>Practical effect:</w:t>
      </w:r>
      <w:r>
        <w:rPr>
          <w:color w:val="222B33"/>
          <w:sz w:val="21"/>
        </w:rPr>
        <w:t xml:space="preserve"> no change to the Phase 1 milestone itself (it was already modeled as a cold-start government sale), but the Phase 1 kill-criteria risk (Section 4) should be weighted as more likely to bind, and the demo asset built from the TNEB-pattern work should be pitched as "we've demonstrated this works on live government-adjacent complaint data" — a door-opener with </w:t>
      </w:r>
      <w:r>
        <w:rPr>
          <w:i/>
          <w:color w:val="222B33"/>
          <w:sz w:val="21"/>
        </w:rPr>
        <w:t>other</w:t>
      </w:r>
      <w:r>
        <w:rPr>
          <w:color w:val="222B33"/>
          <w:sz w:val="21"/>
        </w:rPr>
        <w:t xml:space="preserve"> entities (TANGEDCO, municipal corporations, other states) — never as an existing TNEB account.</w:t>
      </w:r>
    </w:p>
    <w:p>
      <w:r>
        <w:rPr>
          <w:b/>
          <w:color w:val="222B33"/>
          <w:sz w:val="21"/>
        </w:rPr>
        <w:t>Pilot-first structure:</w:t>
      </w:r>
      <w:r>
        <w:rPr>
          <w:color w:val="222B33"/>
          <w:sz w:val="21"/>
        </w:rPr>
        <w:t xml:space="preserve"> 8-12 week duration; nominal fee (₹50,000-₹1L, "at-cost," not free — filters for genuine intent, stays below most states' tender-exemption thresholds); scope limited to a single circle/branch, 3-5 named agents, Email+WhatsApp only; success criteria (duplicate-ticket-rate reduction, first-response-time reduction, usability score, resolved-ticket target) defined jointly in writing before the pilot starts. Conversion mechanics: pilot fee credited against Year 1 contract if converted within 30 days; pilot data migrates into the paid instance; pricing locked at pilot-quoted rate for 12 months.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5.2 Land-and-Expand Mechanics</w:t>
      </w:r>
    </w:p>
    <w:p>
      <w:r>
        <w:rPr>
          <w:color w:val="222B33"/>
          <w:sz w:val="21"/>
        </w:rPr>
        <w:t>Minimum viable contract: single circle/branch, ≤10 agents, Email+WhatsApp only, 12-month term, ₹3-8L ACV. Expansion triggers: additional seats, additional circles/branches within the same department, additional channel (IVR/Twitter once available), cross-sell to a sister department (electricity → water within the same state govt). Equip the champion official with a "results deck" (ticket volume, resolution time, citizen-satisfaction proxy) they can present upward for their own career credit — more effective than any vendor case study since it's peer-credible within the bureaucracy.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5.3 Government Procurement Navigation</w:t>
      </w:r>
    </w:p>
    <w:p>
      <w:r>
        <w:rPr>
          <w:color w:val="222B33"/>
          <w:sz w:val="21"/>
        </w:rPr>
        <w:t>Start with direct relationship-based pilot/PoC entry (bypasses GeM's commodity-listing friction); list on GeM only in Phase 2 once 2-3 references exist. Innovation-friendly states in priority order: Tamil Nadu, Karnataka, Maharashtra, Andhra Pradesh/Telangana. Explicitly reference Digital India/Digital Governance mission language in every pitch/RFP response. STQC certification: not needed for pilot entry, but target completion by end of Phase 2 (Month 12-15) — too early wastes capital before product stability is proven, too late blocks Phase 2/3 deals that gate on it; pursue MeitY empanelment on the same timeline.</w:t>
      </w:r>
    </w:p>
    <w:p>
      <w:r>
        <w:rPr>
          <w:b/>
          <w:color w:val="222B33"/>
          <w:sz w:val="21"/>
        </w:rPr>
        <w:t>First-mover problem (no reference customers exist):</w:t>
      </w:r>
      <w:r>
        <w:rPr>
          <w:color w:val="222B33"/>
          <w:sz w:val="21"/>
        </w:rPr>
        <w:t xml:space="preserve"> four levers, in recommended sequence — (1) unpaid/at-cost pilot (primary, lowest friction); (2) revenue-share/gain-share pilot if flat-fee stalls; (3) co-development/design-partner status with a 2-3 year preferential pricing lock; (4) </w:t>
      </w:r>
      <w:r>
        <w:rPr>
          <w:b/>
          <w:color w:val="222B33"/>
          <w:sz w:val="21"/>
        </w:rPr>
        <w:t>the IIT Pravartak academic angle — likely the single fastest unlock in Month 1-2</w:t>
      </w:r>
      <w:r>
        <w:rPr>
          <w:color w:val="222B33"/>
          <w:sz w:val="21"/>
        </w:rPr>
        <w:t>, since academically-affiliated pilots carry lower perceived risk for state IT secretaries/CIOs and often qualify for "innovation sandbox"/GovTech-challenge budgets outside normal procurement; pursue in parallel with direct outreach, not sequentially.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6. Sustain &amp; Grow Strategy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6.1 Retention Levers</w:t>
      </w:r>
    </w:p>
    <w:p>
      <w:r>
        <w:rPr>
          <w:color w:val="222B33"/>
          <w:sz w:val="21"/>
        </w:rPr>
        <w:t xml:space="preserve">12-24 month contract terms with 90-day-notice auto-renewal. The real lock-in is </w:t>
      </w:r>
      <w:r>
        <w:rPr>
          <w:b/>
          <w:color w:val="222B33"/>
          <w:sz w:val="21"/>
        </w:rPr>
        <w:t>data continuity, not contract terms</w:t>
      </w:r>
      <w:r>
        <w:rPr>
          <w:color w:val="222B33"/>
          <w:sz w:val="21"/>
        </w:rPr>
        <w:t xml:space="preserve">: switching means re-training classification/dedup from a cold start on a new vendor and losing multi-year audit-trail continuity govt departments need for RTI/CAG responses. By Month 18 of a live account, an estimated 60-70% of a department's complaint-resolution "institutional memory" (dedup accuracy, identity-match rates, escalation-rubric tuning) is embedded in system-specific configuration — the switching cost is about restarting this tuning curve, not the money paid. </w:t>
      </w:r>
      <w:r>
        <w:rPr>
          <w:i/>
          <w:color w:val="222B33"/>
          <w:sz w:val="21"/>
        </w:rPr>
        <w:t>Confidence: Low-Medium — a reasoned estimate, not measured.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6.2 Expansion Revenue</w:t>
      </w:r>
    </w:p>
    <w:p>
      <w:r>
        <w:rPr>
          <w:color w:val="222B33"/>
          <w:sz w:val="21"/>
        </w:rPr>
        <w:t xml:space="preserve">Target Net Revenue Retention &gt;110% from Phase 2 onward, driven by seat expansion, channel add-ons, cross-department expansion, and value-justified price uplift at renewal. Govt accounts rarely churn mid-contract but risk </w:t>
      </w:r>
      <w:r>
        <w:rPr>
          <w:b/>
          <w:color w:val="222B33"/>
          <w:sz w:val="21"/>
        </w:rPr>
        <w:t>non-renewal</w:t>
      </w:r>
      <w:r>
        <w:rPr>
          <w:color w:val="222B33"/>
          <w:sz w:val="21"/>
        </w:rPr>
        <w:t xml:space="preserve"> if the champion official is transferred — a near-universal risk in Indian govt service — making renewal-point relationship continuity (QBRs with 2-3 people per account, not just the original champion) the highest-leverage retention lever.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6.3 Product-Led Growth Loops</w:t>
      </w:r>
    </w:p>
    <w:p>
      <w:r>
        <w:rPr>
          <w:color w:val="222B33"/>
          <w:sz w:val="21"/>
        </w:rPr>
        <w:t xml:space="preserve">Classic B2B PLG doesn't apply to the core govt/enterprise sale, but the </w:t>
      </w:r>
      <w:r>
        <w:rPr>
          <w:b/>
          <w:color w:val="222B33"/>
          <w:sz w:val="21"/>
        </w:rPr>
        <w:t>public citizen-facing status-lookup portal</w:t>
      </w:r>
      <w:r>
        <w:rPr>
          <w:color w:val="222B33"/>
          <w:sz w:val="21"/>
        </w:rPr>
        <w:t xml:space="preserve"> is a genuine low-cost brand-awareness loop — if branded per-tenant but built once, exposure to potentially millions of citizens across accounts can prompt neighbouring departments' officials to ask "who built this?" Treat as marketing infrastructure, not a growth-loop replacement for sales. Customer Success ratio: at 20 customers (~₹1Cr ARR), one CS person can own 12-15 accounts if self-service admin tooling (already built) offloads routine configuration; growing to a 4-6 person CS team by the 100-customer mark with segmented ratios.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6.4 Geographic &amp; Vertical Expansion Sequence</w:t>
      </w:r>
    </w:p>
    <w:p>
      <w:r>
        <w:rPr>
          <w:color w:val="222B33"/>
          <w:sz w:val="21"/>
        </w:rPr>
        <w:t>By govt utility/BFSI spend and digital-governance maturity: Maharashtra, Gujarat, Karnataka next after Tamil Nadu; Uttar Pradesh is high-reward but high-cycle-time — sequence it only after enough reference customers and regional presence exist to absorb its longer, more complex cycle. Vertical sequence: Utilities (Phase 1) → Utilities-adjacent water/municipal + BFSI mid-market (Phase 2) → Telecom (TRAI-mandated) + Healthcare (Phase 3). The sequencing logic throughout: each new vertical is chosen either for complaint-pattern similarity (low product risk) or for a regulatory compliance trigger that creates buying urgency independent of UniServe's own sales effort (the more scalable long-term mechanism, since it doesn't depend on UniServe manufacturing demand).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7. Exit Strategy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7.1 Scenario A — Strategic Acquisition (Year 4-5) — RECOMMENDED PRIMARY</w:t>
      </w:r>
    </w:p>
    <w:p>
      <w:r>
        <w:rPr>
          <w:color w:val="222B33"/>
          <w:sz w:val="21"/>
        </w:rPr>
        <w:t xml:space="preserve">Ranked likely acquirers: (1) </w:t>
      </w:r>
      <w:r>
        <w:rPr>
          <w:b/>
          <w:color w:val="222B33"/>
          <w:sz w:val="21"/>
        </w:rPr>
        <w:t>Newgen Software</w:t>
      </w:r>
      <w:r>
        <w:rPr>
          <w:color w:val="222B33"/>
          <w:sz w:val="21"/>
        </w:rPr>
        <w:t xml:space="preserve">-type govt-tech/BPM platform — highest strategic fit; (2) </w:t>
      </w:r>
      <w:r>
        <w:rPr>
          <w:b/>
          <w:color w:val="222B33"/>
          <w:sz w:val="21"/>
        </w:rPr>
        <w:t>TCS/Wipro/Tech Mahindra public-sector units</w:t>
      </w:r>
      <w:r>
        <w:rPr>
          <w:color w:val="222B33"/>
          <w:sz w:val="21"/>
        </w:rPr>
        <w:t xml:space="preserve"> — a "capability tuck-in" to bundle into existing SI govt contracts, possibly the fastest path to acquirer interest given deal-flow overlap; (3) </w:t>
      </w:r>
      <w:r>
        <w:rPr>
          <w:b/>
          <w:color w:val="222B33"/>
          <w:sz w:val="21"/>
        </w:rPr>
        <w:t>Freshworks</w:t>
      </w:r>
      <w:r>
        <w:rPr>
          <w:color w:val="222B33"/>
          <w:sz w:val="21"/>
        </w:rPr>
        <w:t xml:space="preserve"> — plausible if govt/on-prem positioning is attractive as a vertical extension; (4) </w:t>
      </w:r>
      <w:r>
        <w:rPr>
          <w:b/>
          <w:color w:val="222B33"/>
          <w:sz w:val="21"/>
        </w:rPr>
        <w:t>Zoho</w:t>
      </w:r>
      <w:r>
        <w:rPr>
          <w:color w:val="222B33"/>
          <w:sz w:val="21"/>
        </w:rPr>
        <w:t xml:space="preserve"> — lower probability (build-not-buy posture); (5) </w:t>
      </w:r>
      <w:r>
        <w:rPr>
          <w:b/>
          <w:color w:val="222B33"/>
          <w:sz w:val="21"/>
        </w:rPr>
        <w:t>Salesforce</w:t>
      </w:r>
      <w:r>
        <w:rPr>
          <w:color w:val="222B33"/>
          <w:sz w:val="21"/>
        </w:rPr>
        <w:t xml:space="preserve"> — least likely at this scale (Year 6+ scenario only). </w:t>
      </w:r>
      <w:r>
        <w:rPr>
          <w:b/>
          <w:color w:val="222B33"/>
          <w:sz w:val="21"/>
        </w:rPr>
        <w:t>Valuation: ₹60-100 Cr</w:t>
      </w:r>
      <w:r>
        <w:rPr>
          <w:color w:val="222B33"/>
          <w:sz w:val="21"/>
        </w:rPr>
        <w:t xml:space="preserve">, built off a Y3 ARR of ₹5-5.6 Cr sustaining 40-60% YoY growth into Y4-5 (~₹11-15 Cr ARR), at a 6-10x multiple. </w:t>
      </w:r>
      <w:r>
        <w:rPr>
          <w:b/>
          <w:color w:val="222B33"/>
          <w:sz w:val="21"/>
        </w:rPr>
        <w:t>This valuation is explicitly linked to the Y3 ARR base case adopted in Section 1.1</w:t>
      </w:r>
      <w:r>
        <w:rPr>
          <w:color w:val="222B33"/>
          <w:sz w:val="21"/>
        </w:rPr>
        <w:t xml:space="preserve"> — if the upside SOM scenario (₹8.5-11 Cr) materializes instead, the exit valuation band should move up in lockstep to roughly ₹90-150 Cr; the two numbers must be re-run together, not adjudicated independently.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7.2 Scenario B — Private Equity (Year 3-4) — BACKUP</w:t>
      </w:r>
    </w:p>
    <w:p>
      <w:r>
        <w:rPr>
          <w:color w:val="222B33"/>
          <w:sz w:val="21"/>
        </w:rPr>
        <w:t xml:space="preserve">PE interest activates around ₹3-5 Cr ARR with NRR&gt;110%, CAC payback &lt;18 months, &gt;50% YoY growth — aligning with the Phase 3 milestone timing. Functions as a </w:t>
      </w:r>
      <w:r>
        <w:rPr>
          <w:b/>
          <w:color w:val="222B33"/>
          <w:sz w:val="21"/>
        </w:rPr>
        <w:t>growth-equity round to fund the Phase 3 national-scale push</w:t>
      </w:r>
      <w:r>
        <w:rPr>
          <w:color w:val="222B33"/>
          <w:sz w:val="21"/>
        </w:rPr>
        <w:t>, not a full exit, at this ARR level. Relevant funds: Elevation Capital, Matrix Partners India, Accel, Sequoia India/Peak XV (later, larger rounds); Lightspeed India typically enters at larger check sizes than this stage needs.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7.3 Scenario C — IPO (Year 6-8)</w:t>
      </w:r>
    </w:p>
    <w:p>
      <w:r>
        <w:rPr>
          <w:color w:val="222B33"/>
          <w:sz w:val="21"/>
        </w:rPr>
        <w:t xml:space="preserve">NSE Emerge (₹25Cr+ revenue) is theoretical only if the company overshoots the Phase 3 trajectory by ~5x within 2-3 years. Main-board NSE/BSE (₹200Cr+) is not realistic on this trajectory without the company becoming an acquisitive platform consolidator itself. </w:t>
      </w:r>
      <w:r>
        <w:rPr>
          <w:b/>
          <w:color w:val="222B33"/>
          <w:sz w:val="21"/>
        </w:rPr>
        <w:t>Assessment: low-probability, long-tail optionality, not a target.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7.4 Scenario D — Acqui-hire (Year 2, downside floor)</w:t>
      </w:r>
    </w:p>
    <w:p>
      <w:r>
        <w:rPr>
          <w:color w:val="222B33"/>
          <w:sz w:val="21"/>
        </w:rPr>
        <w:t>If Phase 1 kill criteria trigger or pilot-to-paid conversion never works at scale, team value lies in AI/NLP pipeline expertise + Quarkus backend expertise + genuine govt-domain/compliance knowledge (DPDP, MeitY, on-prem/K8s for regulated environments). Likely acquirers: a govt-tech SI or a horizontal CX platform acquiring for AI/NLP talent. Valuation modest (low single-digit crores) — a downside floor, not a target outcome.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7.5 Recommended Path</w:t>
      </w:r>
    </w:p>
    <w:p>
      <w:r>
        <w:rPr>
          <w:b/>
          <w:color w:val="222B33"/>
          <w:sz w:val="21"/>
        </w:rPr>
        <w:t>Primary: Scenario A (Strategic Acquisition), Year 4-5, ₹60-100 Cr valuation</w:t>
      </w:r>
      <w:r>
        <w:rPr>
          <w:color w:val="222B33"/>
          <w:sz w:val="21"/>
        </w:rPr>
        <w:t xml:space="preserve">, contingent on hitting the Phase 3 milestone and securing STQC/MeitY certifications. </w:t>
      </w:r>
      <w:r>
        <w:rPr>
          <w:b/>
          <w:color w:val="222B33"/>
          <w:sz w:val="21"/>
        </w:rPr>
        <w:t>Backup: Scenario B (PE growth round), Year 3-4.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8. Financial Projections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8.1 Revenue Y1-Y3 (base case)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Y1</w:t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Y2 (Month 24)</w:t>
            </w:r>
          </w:p>
        </w:tc>
        <w:tc>
          <w:tcPr>
            <w:tcW w:type="dxa" w:w="2353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Y3</w:t>
            </w:r>
          </w:p>
        </w:tc>
      </w:tr>
      <w:tr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New customers (private/govt)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10 / 2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~25-28 cumulative (revised down from an earlier ~37, per Section 4's adjudication note)</w:t>
            </w:r>
          </w:p>
        </w:tc>
        <w:tc>
          <w:tcPr>
            <w:tcW w:type="dxa" w:w="2353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~100 cumulative</w:t>
            </w:r>
          </w:p>
        </w:tc>
      </w:tr>
      <w:tr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ARR at year-end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₹75L (₹0.75 Cr)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₹1.6–2.5 Cr</w:t>
            </w:r>
            <w:r>
              <w:rPr>
                <w:color w:val="222B33"/>
                <w:sz w:val="18"/>
              </w:rPr>
              <w:t xml:space="preserve"> (range — see Section 4)</w:t>
            </w:r>
          </w:p>
        </w:tc>
        <w:tc>
          <w:tcPr>
            <w:tcW w:type="dxa" w:w="2353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₹5–5.6 Cr</w:t>
            </w:r>
            <w:r>
              <w:rPr>
                <w:color w:val="222B33"/>
                <w:sz w:val="18"/>
              </w:rPr>
              <w:t xml:space="preserve"> (base); </w:t>
            </w:r>
            <w:r>
              <w:rPr>
                <w:b/>
                <w:color w:val="222B33"/>
                <w:sz w:val="18"/>
              </w:rPr>
              <w:t>₹8.5–11 Cr</w:t>
            </w:r>
            <w:r>
              <w:rPr>
                <w:color w:val="222B33"/>
                <w:sz w:val="18"/>
              </w:rPr>
              <w:t xml:space="preserve"> upside ceiling (Section 1.1)</w:t>
            </w:r>
          </w:p>
        </w:tc>
      </w:tr>
    </w:tbl>
    <w:p/>
    <w:p>
      <w:r>
        <w:rPr>
          <w:color w:val="222B33"/>
          <w:sz w:val="21"/>
        </w:rPr>
        <w:t>Conservative case: Y1 ₹0.38 Cr → Y2 ₹1.05 Cr → Y3 ₹2.3 Cr.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8.2 Cost Structure</w:t>
      </w:r>
    </w:p>
    <w:p>
      <w:r>
        <w:rPr>
          <w:color w:val="222B33"/>
          <w:sz w:val="21"/>
        </w:rPr>
        <w:t xml:space="preserve">Infrastructure per 100-user tenant: ~₹600-750/month shared-multi-tenant allocation (or ~₹8,750/month fully dedicated — the reference point for on-prem TCO conversations; also the basis for the on-prem 2.5-3x pricing premium in Section 3.2). People cost (seed-stage team: 2 engineers + 1 sales + 1 CS): ~₹4.6-5.0L/month total burn including ~15% overhead → ~₹55-60L/year. </w:t>
      </w:r>
      <w:r>
        <w:rPr>
          <w:b/>
          <w:color w:val="222B33"/>
          <w:sz w:val="21"/>
        </w:rPr>
        <w:t>This burn figure funds only the current 4-person team through Phase 1</w:t>
      </w:r>
      <w:r>
        <w:rPr>
          <w:color w:val="222B33"/>
          <w:sz w:val="21"/>
        </w:rPr>
        <w:t xml:space="preserve"> — see 8.5 for the Phase 2 headcount-ramp funding gap surfaced during review.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8.3 Break-even</w:t>
      </w:r>
    </w:p>
    <w:p>
      <w:r>
        <w:rPr>
          <w:color w:val="222B33"/>
          <w:sz w:val="21"/>
        </w:rPr>
        <w:t xml:space="preserve">ARR required to cover ₹60L annual opex at ~82% blended gross margin ≈ ₹73L. At blended ACV ~₹6.3L (85/15 private/govt mix), that's </w:t>
      </w:r>
      <w:r>
        <w:rPr>
          <w:b/>
          <w:color w:val="222B33"/>
          <w:sz w:val="21"/>
        </w:rPr>
        <w:t>~12 customers</w:t>
      </w:r>
      <w:r>
        <w:rPr>
          <w:color w:val="222B33"/>
          <w:sz w:val="21"/>
        </w:rPr>
        <w:t xml:space="preserve"> — the Y1 base case (12 new customers, ₹75L ARR) clears this almost exactly, implying plausible operating break-even at the end of Year 1 in the base case; the conservative case misses break-even until well into Year 2.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8.4 Unit Economics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7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Private</w:t>
            </w:r>
          </w:p>
        </w:tc>
        <w:tc>
          <w:tcPr>
            <w:tcW w:type="dxa" w:w="3137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Government</w:t>
            </w:r>
          </w:p>
        </w:tc>
      </w:tr>
      <w:tr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CAC (founder-led, as modeled)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₹1.17L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₹4-6L</w:t>
            </w:r>
          </w:p>
        </w:tc>
      </w:tr>
      <w:tr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CAC (revised, fully-loaded AE + realistic churn)</w:t>
            </w:r>
          </w:p>
        </w:tc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₹1.5-2L</w:t>
            </w:r>
          </w:p>
        </w:tc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LTV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₹19.2L (₹14.4L revised)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₹35.7L</w:t>
            </w:r>
          </w:p>
        </w:tc>
      </w:tr>
      <w:tr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LTV:CAC</w:t>
            </w:r>
          </w:p>
        </w:tc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~16:1 (</w:t>
            </w:r>
            <w:r>
              <w:rPr>
                <w:b/>
                <w:color w:val="222B33"/>
                <w:sz w:val="18"/>
              </w:rPr>
              <w:t>8:1 revised — plan against this</w:t>
            </w:r>
            <w:r>
              <w:rPr>
                <w:color w:val="222B33"/>
                <w:sz w:val="18"/>
              </w:rPr>
              <w:t>)</w:t>
            </w:r>
          </w:p>
        </w:tc>
        <w:tc>
          <w:tcPr>
            <w:tcW w:type="dxa" w:w="3137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~7:1</w:t>
            </w:r>
          </w:p>
        </w:tc>
      </w:tr>
      <w:tr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Payback period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~3mo (~4-5mo revised)</w:t>
            </w:r>
          </w:p>
        </w:tc>
        <w:tc>
          <w:tcPr>
            <w:tcW w:type="dxa" w:w="3137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~6.7mo</w:t>
            </w:r>
          </w:p>
        </w:tc>
      </w:tr>
    </w:tbl>
    <w:p/>
    <w:p>
      <w:r>
        <w:rPr>
          <w:color w:val="222B33"/>
          <w:sz w:val="21"/>
        </w:rPr>
        <w:t>The headline 16:1 ratio is inflated by construction (founder-led motion, no dedicated sales/CS cost loaded in yet) — the revised 8:1 / 4-5 month payback figures are the ones to plan against.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1B3A52"/>
          <w:sz w:val="25"/>
        </w:rPr>
        <w:t>8.5 Fundraise Ask — adjudicated, with an open reconciliation flagged</w:t>
      </w:r>
    </w:p>
    <w:p>
      <w:r>
        <w:rPr>
          <w:color w:val="222B33"/>
          <w:sz w:val="21"/>
        </w:rPr>
        <w:t xml:space="preserve">Two independent estimates emerged during review and disagree by roughly an order of magnitude, for a specific and identifiable reason — </w:t>
      </w:r>
      <w:r>
        <w:rPr>
          <w:b/>
          <w:color w:val="222B33"/>
          <w:sz w:val="21"/>
        </w:rPr>
        <w:t>this is flagged as an open item requiring dedicated financial-modeling follow-up before use in an actual fundraising deck</w:t>
      </w:r>
      <w:r>
        <w:rPr>
          <w:color w:val="222B33"/>
          <w:sz w:val="21"/>
        </w:rPr>
        <w:t>, not resolved by fiat here:</w:t>
      </w:r>
    </w:p>
    <w:p>
      <w:pPr>
        <w:pStyle w:val="ListBullet"/>
      </w:pPr>
      <w:r>
        <w:rPr>
          <w:b/>
          <w:color w:val="222B33"/>
          <w:sz w:val="21"/>
        </w:rPr>
        <w:t>Commercial Strategist's ask:</w:t>
      </w:r>
      <w:r>
        <w:rPr>
          <w:color w:val="222B33"/>
          <w:sz w:val="21"/>
        </w:rPr>
        <w:t xml:space="preserve"> ₹1.5 Cr seed now, sized for ~20-22 months of runway </w:t>
      </w:r>
      <w:r>
        <w:rPr>
          <w:b/>
          <w:color w:val="222B33"/>
          <w:sz w:val="21"/>
        </w:rPr>
        <w:t>at the current 4-person team's burn rate</w:t>
      </w:r>
      <w:r>
        <w:rPr>
          <w:color w:val="222B33"/>
          <w:sz w:val="21"/>
        </w:rPr>
        <w:t xml:space="preserve"> (₹55-60L/yr), with a follow-on Series A/seed-extension of ₹4-6 Cr proposed around Month 18-20 once the Phase 2 milestone is demonstrated.</w:t>
      </w:r>
    </w:p>
    <w:p>
      <w:pPr>
        <w:pStyle w:val="ListBullet"/>
      </w:pPr>
      <w:r>
        <w:rPr>
          <w:b/>
          <w:color w:val="222B33"/>
          <w:sz w:val="21"/>
        </w:rPr>
        <w:t>Growth Strategist's estimate:</w:t>
      </w:r>
      <w:r>
        <w:rPr>
          <w:color w:val="222B33"/>
          <w:sz w:val="21"/>
        </w:rPr>
        <w:t xml:space="preserve"> ₹15-20 Cr needed to reach the Month-18 milestone, because Phase 2's own team-expansion plan (Section 4) ramps headcount from ~10 to 20-28 people — a materially larger burn than the Commercial Strategist's ask accounts for — with a second raise of ₹25-40 Cr for the Phase 3 ramp to 60-90 people.</w:t>
      </w:r>
    </w:p>
    <w:p>
      <w:r>
        <w:rPr>
          <w:b/>
          <w:color w:val="222B33"/>
          <w:sz w:val="21"/>
        </w:rPr>
        <w:t>Adjudicated interpretation:</w:t>
      </w:r>
      <w:r>
        <w:rPr>
          <w:color w:val="222B33"/>
          <w:sz w:val="21"/>
        </w:rPr>
        <w:t xml:space="preserve"> the Commercial Strategist's ₹1.5 Cr figure is correctly sized to fund Phase 1 alone (the team stays at 4 people); it does </w:t>
      </w:r>
      <w:r>
        <w:rPr>
          <w:b/>
          <w:color w:val="222B33"/>
          <w:sz w:val="21"/>
        </w:rPr>
        <w:t>not</w:t>
      </w:r>
      <w:r>
        <w:rPr>
          <w:color w:val="222B33"/>
          <w:sz w:val="21"/>
        </w:rPr>
        <w:t xml:space="preserve"> fund the Phase 2 headcount ramp that the Phase 4 rollout plan itself requires. The practical implication: </w:t>
      </w:r>
      <w:r>
        <w:rPr>
          <w:b/>
          <w:color w:val="222B33"/>
          <w:sz w:val="21"/>
        </w:rPr>
        <w:t>a bridge/Series A raise (indicatively ₹4-8 Cr, closer to the Commercial Strategist's follow-on figure than the Growth Strategist's ₹15-20 Cr) should be planned to close around Month 12-15 — ahead of the Phase 2 hiring ramp, not after the Month 18 milestone is already hit as originally sequenced.</w:t>
      </w:r>
      <w:r>
        <w:rPr>
          <w:color w:val="222B33"/>
          <w:sz w:val="21"/>
        </w:rPr>
        <w:t xml:space="preserve"> The Growth Strategist's larger figure likely reflects a fully-loaded Phase 1+2 combined burn rather than a staged raise; reconciling the two into a single, defensible number requires a dedicated headcount-by-month burn model that was out of scope for this analysis and should be commissioned as a follow-up before either figure is presented externally.</w:t>
      </w:r>
    </w:p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9. Key Risks &amp;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4706"/>
            <w:shd w:val="clear" w:color="auto" w:fill="0D1B2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Govt L1 (lowest-bidder) procurement reflex could force a race-to-the-bottom on UniServe's core AI differentiator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Push govt deals toward RFP/QCBS (70/30 technical-commercial) structures rather than raw GeM catalog listing; protect Government Edition slab pricing from commodity-line-item comparison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Reputational/compliance risk: earlier "TNEB pilot" framing, if it reaches fundraising or sales collateral unchanged, misrepresents an existing government relationship that does not exist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All materials referencing TNEB must use "TNEB-type reference utility" / "product-market-fit rehearsal" language (Section 5); audit any existing pitch decks or sales collateral built from earlier drafts before external use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No paying reference customer exists anywhere yet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Convert an at-cost pilot to a paying, referenceable logo as the top Phase 1 commercial priority; pursue the IIT Pravartak academic-angle introduction in parallel as the likely fastest unlock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Champion-official transfer risk causing non-renewal or pilot collapse (structurally common in Indian govt service)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QBR discipline building relationships with 2-3 people per account, not just the original champion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STQC/MeitY empanelment timeline slips past when a target deal requires it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Begin certification process by Month 12-15 — not earlier (product stability must precede it), not later (it gates Phase 2/3 deals)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Private-sector willingness-to-pay for the AI/compliance premium is unproven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Treat first 10-15 private closes explicitly as pricing discovery, not confirmation that the launch-discount ladder holds at steady-state list price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Vertical-taxonomy fragmentation (BFSI/Telecom complaint categories differ from utility) could balloon "configurable rubric" work into bespoke per-customer engineering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Prove rubric configurability generalises across ≥2 verticals before committing to Phase 3 platform strategy or wide BFSI/Telecom expansion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Govt budget-cycle concentration risk — if 60-70%+ of ARR stays govt/PSU, fiscal cuts or election-cycle administrative churn could hit multiple accounts simultaneously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BFSI mid-market diversification in Phase 2 exists explicitly as a hedge against this concentration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Regional-language (Tamil/Hindi/etc.) NLP is a total gap today (English-only PII detection confirmed in code) — can block tender eligibility outright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Ship the translation-layer fix (not native NLP) with a hard Month 9 (Hindi) / Month 18 (2 more languages) gate; sequence Phase 1-2 targets toward English-comfortable utilities until then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Government Edition's flat-annual structure assumes divisional committees will approve a recurring opex line item rather than a one-time capex license — untested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Stress-test this assumption in the Phase 1 pilot itself, not assumed; be prepared to offer a one-time-license-plus-AMC structure as a fallback</w:t>
            </w:r>
          </w:p>
        </w:tc>
      </w:tr>
      <w:tr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Data-residency-sensitive govt buyers may be unable to reach the current OpenAI-API-based LLM pipeline from an air-gapped network</w:t>
            </w:r>
          </w:p>
        </w:tc>
        <w:tc>
          <w:tcPr>
            <w:tcW w:type="dxa" w:w="4706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Sovereign/Air-Gapped AI add-on SKU (~₹2-4L/yr, Section 3.3) rather than silently absorbing the cost into existing slabs</w:t>
            </w:r>
          </w:p>
        </w:tc>
      </w:tr>
      <w:tr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b/>
                <w:color w:val="222B33"/>
                <w:sz w:val="18"/>
              </w:rPr>
              <w:t>Fundraise sizing is currently unreconciled between two independent estimates differing by ~10x</w:t>
            </w:r>
            <w:r>
              <w:rPr>
                <w:color w:val="222B33"/>
                <w:sz w:val="18"/>
              </w:rPr>
              <w:t xml:space="preserve"> (Section 8.5)</w:t>
            </w:r>
          </w:p>
        </w:tc>
        <w:tc>
          <w:tcPr>
            <w:tcW w:type="dxa" w:w="4706"/>
            <w:shd w:val="clear" w:color="auto" w:fill="EAF6F5"/>
          </w:tcPr>
          <w:p>
            <w:r>
              <w:rPr>
                <w:color w:val="222B33"/>
                <w:sz w:val="18"/>
              </w:rPr>
            </w:r>
            <w:r>
              <w:rPr>
                <w:color w:val="222B33"/>
                <w:sz w:val="18"/>
              </w:rPr>
              <w:t>Commission a dedicated month-by-month headcount/burn model before presenting any fundraise ask externally; treat the ₹4-8 Cr bridge-round range as directional, not final</w:t>
            </w:r>
          </w:p>
        </w:tc>
      </w:tr>
    </w:tbl>
    <w:p/>
    <w:p>
      <w:pPr>
        <w:spacing w:before="320" w:after="160"/>
        <w:pStyle w:val="Heading2"/>
        <w:keepNext/>
        <w:pBdr>
          <w:bottom w:val="single" w:sz="6" w:space="4" w:color="B7E4E0"/>
        </w:pBdr>
      </w:pPr>
      <w:r>
        <w:rPr>
          <w:rFonts w:ascii="Calibri" w:hAnsi="Calibri"/>
          <w:b/>
          <w:color w:val="028090"/>
          <w:sz w:val="30"/>
        </w:rPr>
        <w:t>PROCESS NOTES</w:t>
      </w:r>
    </w:p>
    <w:p>
      <w:r>
        <w:rPr>
          <w:b/>
          <w:color w:val="222B33"/>
          <w:sz w:val="21"/>
        </w:rPr>
        <w:t>Consensus items</w:t>
      </w:r>
      <w:r>
        <w:rPr>
          <w:color w:val="222B33"/>
          <w:sz w:val="21"/>
        </w:rPr>
        <w:t xml:space="preserve"> (all relevant analysts converged independently):</w:t>
      </w:r>
    </w:p>
    <w:p>
      <w:pPr>
        <w:pStyle w:val="ListBullet"/>
      </w:pPr>
      <w:r>
        <w:rPr>
          <w:color w:val="222B33"/>
          <w:sz w:val="21"/>
        </w:rPr>
        <w:t>Government Utilities as the Primary/beachhead segment, with BFSI mid-market as a concurrent second engine</w:t>
      </w:r>
    </w:p>
    <w:p>
      <w:pPr>
        <w:pStyle w:val="ListBullet"/>
      </w:pPr>
      <w:r>
        <w:rPr>
          <w:color w:val="222B33"/>
          <w:sz w:val="21"/>
        </w:rPr>
        <w:t>CPGRAMS/state grievance portals — not the SaaS incumbents — as the real competitive benchmark to sit alongside</w:t>
      </w:r>
    </w:p>
    <w:p>
      <w:pPr>
        <w:pStyle w:val="ListBullet"/>
      </w:pPr>
      <w:r>
        <w:rPr>
          <w:color w:val="222B33"/>
          <w:sz w:val="21"/>
        </w:rPr>
        <w:t xml:space="preserve">DPDP Act 2023 does not itself mandate data localisation; govt contract </w:t>
      </w:r>
      <w:r>
        <w:rPr>
          <w:i/>
          <w:color w:val="222B33"/>
          <w:sz w:val="21"/>
        </w:rPr>
        <w:t>practice</w:t>
      </w:r>
      <w:r>
        <w:rPr>
          <w:color w:val="222B33"/>
          <w:sz w:val="21"/>
        </w:rPr>
        <w:t xml:space="preserve"> is the actual driver of on-prem demand</w:t>
      </w:r>
    </w:p>
    <w:p>
      <w:pPr>
        <w:pStyle w:val="ListBullet"/>
      </w:pPr>
      <w:r>
        <w:rPr>
          <w:color w:val="222B33"/>
          <w:sz w:val="21"/>
        </w:rPr>
        <w:t>Strategic acquisition (not IPO) as the realistic primary exit path, Year 4-5</w:t>
      </w:r>
    </w:p>
    <w:p>
      <w:pPr>
        <w:pStyle w:val="ListBullet"/>
      </w:pPr>
      <w:r>
        <w:rPr>
          <w:b/>
          <w:color w:val="222B33"/>
          <w:sz w:val="21"/>
        </w:rPr>
        <w:t>TNEB is architectural/domain-fit validation only — no existing commercial or political relationship exists or should be implied.</w:t>
      </w:r>
      <w:r>
        <w:rPr>
          <w:color w:val="222B33"/>
          <w:sz w:val="21"/>
        </w:rPr>
        <w:t xml:space="preserve"> Reached unanimously across all three analysts who originally referenced it, after direct cross-check against </w:t>
      </w:r>
      <w:r>
        <w:rPr>
          <w:rFonts w:ascii="Consolas" w:hAnsi="Consolas"/>
          <w:color w:val="222B33"/>
          <w:sz w:val="21"/>
        </w:rPr>
        <w:t>marketing/UniServe_IMC_Strategy.md</w:t>
      </w:r>
      <w:r>
        <w:rPr>
          <w:color w:val="222B33"/>
          <w:sz w:val="21"/>
        </w:rPr>
        <w:t>.</w:t>
      </w:r>
    </w:p>
    <w:p>
      <w:pPr>
        <w:pStyle w:val="ListBullet"/>
      </w:pPr>
      <w:r>
        <w:rPr>
          <w:color w:val="222B33"/>
          <w:sz w:val="21"/>
        </w:rPr>
        <w:t>Adopt ₹5-5.6 Cr as the official Y3 ARR base case, with the Market Analyst's independently-derived $1.0-1.3M figure reframed as a contingent upside ceiling rather than a competing forecast</w:t>
      </w:r>
    </w:p>
    <w:p>
      <w:r>
        <w:rPr>
          <w:b/>
          <w:color w:val="222B33"/>
          <w:sz w:val="21"/>
        </w:rPr>
        <w:t>Adjudicated items</w:t>
      </w:r>
      <w:r>
        <w:rPr>
          <w:color w:val="222B33"/>
          <w:sz w:val="21"/>
        </w:rPr>
        <w:t xml:space="preserve"> (moderator resolved a genuine disagreement, with rationale):</w:t>
      </w:r>
    </w:p>
    <w:p>
      <w:pPr>
        <w:pStyle w:val="ListBullet"/>
      </w:pPr>
      <w:r>
        <w:rPr>
          <w:color w:val="222B33"/>
          <w:sz w:val="21"/>
        </w:rPr>
        <w:t>Added a Gov-Entry pricing tier (~₹3.5L/yr) after the Customer Strategist's quantified challenge showed the original two-slab Government Edition priced out a meaningful share of the addressable segment — a partial override of the Commercial Strategist's "self-resolved" claim</w:t>
      </w:r>
    </w:p>
    <w:p>
      <w:pPr>
        <w:pStyle w:val="ListBullet"/>
      </w:pPr>
      <w:r>
        <w:rPr>
          <w:color w:val="222B33"/>
          <w:sz w:val="21"/>
        </w:rPr>
        <w:t>Month 24 milestone carried as a range (₹1.6-2.5 Cr ARR, ~28-30 customers) rather than forcing the Commercial Strategist's and Growth Strategist's independently-revised-but-still-different figures into a single false-precision number</w:t>
      </w:r>
    </w:p>
    <w:p>
      <w:pPr>
        <w:pStyle w:val="ListBullet"/>
      </w:pPr>
      <w:r>
        <w:rPr>
          <w:color w:val="222B33"/>
          <w:sz w:val="21"/>
        </w:rPr>
        <w:t>Exit valuation (₹60-100 Cr) explicitly tied to the adopted Y3 ARR base case, with an explicit instruction to re-run the math together if the upside SOM scenario is later adopted instead</w:t>
      </w:r>
    </w:p>
    <w:p>
      <w:r>
        <w:rPr>
          <w:b/>
          <w:color w:val="222B33"/>
          <w:sz w:val="21"/>
        </w:rPr>
        <w:t>Minority views retained:</w:t>
      </w:r>
    </w:p>
    <w:p>
      <w:pPr>
        <w:pStyle w:val="ListBullet"/>
      </w:pPr>
      <w:r>
        <w:rPr>
          <w:color w:val="222B33"/>
          <w:sz w:val="21"/>
        </w:rPr>
        <w:t>The Growth Strategist's substantially larger fundraise estimate (₹15-20 Cr to reach Month 18) is retained in Section 8.5 as an unresolved input, not overridden, because it derives directly from the Phase rollout plan's own headcount-ramp assumptions and may indicate the Commercial Strategist's ₹1.5 Cr ask is genuinely undersized rather than simply differently scoped</w:t>
      </w:r>
    </w:p>
    <w:p>
      <w:r>
        <w:rPr>
          <w:b/>
          <w:color w:val="222B33"/>
          <w:sz w:val="21"/>
        </w:rPr>
        <w:t>Open item requiring follow-up before this document is used in fundraising or board materials:</w:t>
      </w:r>
      <w:r>
        <w:rPr>
          <w:color w:val="222B33"/>
          <w:sz w:val="21"/>
        </w:rPr>
        <w:t xml:space="preserve"> the fundraise-ask reconciliation in Section 8.5 (an ~order-of-magnitude gap between two independently-modeled estimates) should be resolved with a dedicated headcount-by-month burn model, not the directional bridge-round estimate offered here.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  <w:pgBorders w:offsetFrom="page">
        <w:top w:val="single" w:sz="12" w:space="24" w:color="028090"/>
        <w:left w:val="single" w:sz="12" w:space="24" w:color="028090"/>
        <w:bottom w:val="single" w:sz="12" w:space="24" w:color="028090"/>
        <w:right w:val="single" w:sz="12" w:space="24" w:color="02809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1B3A52"/>
        <w:sz w:val="16"/>
      </w:rPr>
      <w:t>UniServe — Integrated Market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