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B2545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/>
              <w:jc w:val="center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31"/>
              </w:rPr>
              <w:t>Group 4 - IITM AI Powered Product Design and Management - Uniserv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/>
                <w:b w:val="0"/>
                <w:i/>
                <w:color w:val="9FD4DA"/>
                <w:sz w:val="18"/>
              </w:rPr>
              <w:t>Capstone Submission  •  Master Index of Deliverables &amp; Live Demo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E6F4F5"/>
            <w:tcMar>
              <w:top w:w="70" w:type="dxa"/>
              <w:start w:w="150" w:type="dxa"/>
              <w:bottom w:w="70" w:type="dxa"/>
              <w:end w:w="150" w:type="dxa"/>
            </w:tcMar>
            <w:tcBorders>
              <w:left w:val="single" w:sz="24" w:space="0" w:color="0E7C86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0E7C86"/>
                <w:sz w:val="19"/>
              </w:rPr>
              <w:t xml:space="preserve">▶  What is UniServe?   </w:t>
            </w:r>
            <w:r>
              <w:rPr>
                <w:rFonts w:ascii="Segoe UI" w:hAnsi="Segoe UI" w:cs="Segoe UI"/>
                <w:b w:val="0"/>
                <w:i w:val="0"/>
                <w:color w:val="1F3247"/>
                <w:sz w:val="18"/>
              </w:rPr>
              <w:t>A multi-tenant, AI-powered citizen complaint &amp; feedback portal. Citizens write in over Email or WhatsApp; an AI pipeline verifies identity, gathers missing details, classifies and prioritises the complaint, de-duplicates it against open tickets, and routes it into a role-based agent dashboard with a structured resolution workflow and full audit trail.</w:t>
            </w:r>
          </w:p>
        </w:tc>
      </w:tr>
    </w:tbl>
    <w:p>
      <w:pPr>
        <w:spacing w:before="0" w:after="10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FFF4CE"/>
            <w:tcBorders>
              <w:top w:val="single" w:sz="6" w:space="0" w:color="C8811A"/>
              <w:left w:val="single" w:sz="30" w:space="0" w:color="D13438"/>
              <w:bottom w:val="single" w:sz="6" w:space="0" w:color="C8811A"/>
              <w:right w:val="single" w:sz="6" w:space="0" w:color="C8811A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60"/>
            </w:pPr>
            <w:r/>
            <w:r>
              <w:rPr>
                <w:rFonts w:ascii="Segoe UI" w:hAnsi="Segoe UI" w:cs="Segoe UI"/>
                <w:b/>
                <w:i w:val="0"/>
                <w:color w:val="A4262C"/>
                <w:sz w:val="23"/>
              </w:rPr>
              <w:t>⚠  FIRST-TIME USE — PLEASE READ BEFORE TESTING  ⚠</w:t>
            </w:r>
          </w:p>
          <w:p>
            <w:pPr>
              <w:spacing w:before="0" w:after="40"/>
            </w:pP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The back-end services are hosted on Render’s free tier and </w:t>
            </w:r>
            <w:r>
              <w:rPr>
                <w:rFonts w:ascii="Segoe UI" w:hAnsi="Segoe UI" w:cs="Segoe UI"/>
                <w:b/>
                <w:i w:val="0"/>
                <w:color w:val="3B2A06"/>
                <w:sz w:val="18"/>
              </w:rPr>
              <w:t>go to sleep when idle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>. Wake them up first:</w:t>
            </w:r>
          </w:p>
          <w:p>
            <w:pPr>
              <w:spacing w:before="0" w:after="20"/>
              <w:ind w:left="230"/>
            </w:pPr>
            <w:r>
              <w:rPr>
                <w:rFonts w:ascii="Segoe UI" w:hAnsi="Segoe UI" w:cs="Segoe UI"/>
                <w:b/>
                <w:i w:val="0"/>
                <w:color w:val="A4262C"/>
                <w:sz w:val="18"/>
              </w:rPr>
              <w:t xml:space="preserve">1.  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Log in to the dashboard as </w:t>
            </w:r>
            <w:r>
              <w:rPr>
                <w:rFonts w:ascii="Segoe UI" w:hAnsi="Segoe UI" w:cs="Segoe UI"/>
                <w:b/>
                <w:i w:val="0"/>
                <w:color w:val="3B2A06"/>
                <w:sz w:val="18"/>
              </w:rPr>
              <w:t>admin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>.</w:t>
            </w:r>
          </w:p>
          <w:p>
            <w:pPr>
              <w:spacing w:before="0" w:after="20"/>
              <w:ind w:left="230"/>
            </w:pPr>
            <w:r>
              <w:rPr>
                <w:rFonts w:ascii="Segoe UI" w:hAnsi="Segoe UI" w:cs="Segoe UI"/>
                <w:b/>
                <w:i w:val="0"/>
                <w:color w:val="A4262C"/>
                <w:sz w:val="18"/>
              </w:rPr>
              <w:t xml:space="preserve">2.  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Open the </w:t>
            </w:r>
            <w:r>
              <w:rPr>
                <w:rFonts w:ascii="Segoe UI" w:hAnsi="Segoe UI" w:cs="Segoe UI"/>
                <w:b/>
                <w:i w:val="0"/>
                <w:color w:val="3B2A06"/>
                <w:sz w:val="18"/>
              </w:rPr>
              <w:t>System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 tab.</w:t>
            </w:r>
          </w:p>
          <w:p>
            <w:pPr>
              <w:spacing w:before="0" w:after="20"/>
              <w:ind w:left="230"/>
            </w:pPr>
            <w:r>
              <w:rPr>
                <w:rFonts w:ascii="Segoe UI" w:hAnsi="Segoe UI" w:cs="Segoe UI"/>
                <w:b/>
                <w:i w:val="0"/>
                <w:color w:val="A4262C"/>
                <w:sz w:val="18"/>
              </w:rPr>
              <w:t xml:space="preserve">3.  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Hit </w:t>
            </w:r>
            <w:r>
              <w:rPr>
                <w:rFonts w:ascii="Segoe UI" w:hAnsi="Segoe UI" w:cs="Segoe UI"/>
                <w:b/>
                <w:i w:val="0"/>
                <w:color w:val="3B2A06"/>
                <w:sz w:val="18"/>
              </w:rPr>
              <w:t>Refresh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 a couple of times — this spins every service back up.</w:t>
            </w:r>
          </w:p>
          <w:p>
            <w:pPr>
              <w:spacing w:before="40" w:after="0"/>
            </w:pPr>
            <w:r>
              <w:rPr>
                <w:rFonts w:ascii="Segoe UI" w:hAnsi="Segoe UI" w:cs="Segoe UI"/>
                <w:b/>
                <w:i w:val="0"/>
                <w:color w:val="A4262C"/>
                <w:sz w:val="18"/>
              </w:rPr>
              <w:t>→  ONLY AFTER THIS</w:t>
            </w:r>
            <w:r>
              <w:rPr>
                <w:rFonts w:ascii="Segoe UI" w:hAnsi="Segoe UI" w:cs="Segoe UI"/>
                <w:b w:val="0"/>
                <w:i w:val="0"/>
                <w:color w:val="3B2A06"/>
                <w:sz w:val="18"/>
              </w:rPr>
              <w:t xml:space="preserve"> should you send the complaint email or WhatsApp message and try the end-to-end flows. Skipping this step will make the first requests time out.</w:t>
            </w:r>
          </w:p>
        </w:tc>
      </w:tr>
    </w:tbl>
    <w:p>
      <w:pPr>
        <w:spacing w:before="0" w:after="12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E7C86"/>
            <w:tcMar>
              <w:top w:w="45" w:type="dxa"/>
              <w:start w:w="140" w:type="dxa"/>
              <w:bottom w:w="45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FFFFFF"/>
                <w:sz w:val="20"/>
              </w:rPr>
              <w:t>🚀   LIVE APPLICATION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664"/>
        <w:gridCol w:w="7992"/>
      </w:tblGrid>
      <w:tr>
        <w:tc>
          <w:tcPr>
            <w:tcW w:type="dxa" w:w="2664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🌐  Dashboard URL</w:t>
            </w:r>
          </w:p>
        </w:tc>
        <w:tc>
          <w:tcPr>
            <w:tcW w:type="dxa" w:w="7992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hyperlink r:id="rId9">
              <w:r>
                <w:rPr>
                  <w:rFonts w:ascii="Segoe UI" w:hAnsi="Segoe UI" w:cs="Segoe UI"/>
                  <w:b/>
                  <w:color w:val="0B6E99"/>
                  <w:sz w:val="19"/>
                  <w:szCs w:val="19"/>
                  <w:u w:val="single"/>
                </w:rPr>
                <w:t xml:space="preserve">https://uniserv-delta.vercel.app</w:t>
              </w:r>
            </w:hyperlink>
          </w:p>
        </w:tc>
      </w:tr>
      <w:tr>
        <w:tc>
          <w:tcPr>
            <w:tcW w:type="dxa" w:w="2664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💡  Navigation tip</w:t>
            </w:r>
          </w:p>
        </w:tc>
        <w:tc>
          <w:tcPr>
            <w:tcW w:type="dxa" w:w="7992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The app opens on the </w:t>
            </w:r>
            <w:r>
              <w:rPr>
                <w:rFonts w:ascii="Segoe UI" w:hAnsi="Segoe UI" w:cs="Segoe UI"/>
                <w:b/>
                <w:i w:val="0"/>
                <w:color w:val="333F4B"/>
                <w:sz w:val="17"/>
              </w:rPr>
              <w:t>“Agent Sign in”</w:t>
            </w: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 screen. To reach the </w:t>
            </w:r>
            <w:r>
              <w:rPr>
                <w:rFonts w:ascii="Segoe UI" w:hAnsi="Segoe UI" w:cs="Segoe UI"/>
                <w:b/>
                <w:i w:val="0"/>
                <w:color w:val="0E7C86"/>
                <w:sz w:val="17"/>
              </w:rPr>
              <w:t>citizen portal</w:t>
            </w: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>, click the small link at the bottom of that sign-in screen.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E7C86"/>
            <w:tcMar>
              <w:top w:w="45" w:type="dxa"/>
              <w:start w:w="140" w:type="dxa"/>
              <w:bottom w:w="45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FFFFFF"/>
                <w:sz w:val="20"/>
              </w:rPr>
              <w:t>📨   HOW TO REACH THE SERVICE — CITIZEN CHANNELS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664"/>
        <w:gridCol w:w="7992"/>
      </w:tblGrid>
      <w:tr>
        <w:tc>
          <w:tcPr>
            <w:tcW w:type="dxa" w:w="2664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✉  Complaint e-mail</w:t>
            </w:r>
          </w:p>
        </w:tc>
        <w:tc>
          <w:tcPr>
            <w:tcW w:type="dxa" w:w="7992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hyperlink r:id="rId10">
              <w:r>
                <w:rPr>
                  <w:rFonts w:ascii="Segoe UI" w:hAnsi="Segoe UI" w:cs="Segoe UI"/>
                  <w:b/>
                  <w:color w:val="0B6E99"/>
                  <w:sz w:val="19"/>
                  <w:szCs w:val="19"/>
                  <w:u w:val="single"/>
                </w:rPr>
                <w:t xml:space="preserve">uniservportal@gmail.com</w:t>
              </w:r>
            </w:hyperlink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   — send your complaint here as a normal e-mail.</w:t>
            </w:r>
          </w:p>
        </w:tc>
      </w:tr>
      <w:tr>
        <w:tc>
          <w:tcPr>
            <w:tcW w:type="dxa" w:w="2664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💬  WhatsApp number</w:t>
            </w:r>
          </w:p>
        </w:tc>
        <w:tc>
          <w:tcPr>
            <w:tcW w:type="dxa" w:w="7992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9"/>
              </w:rPr>
              <w:t>+91 44-79614691</w:t>
            </w: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   — message this number on WhatsApp to raise / follow up a complaint.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E7C86"/>
            <w:tcMar>
              <w:top w:w="45" w:type="dxa"/>
              <w:start w:w="140" w:type="dxa"/>
              <w:bottom w:w="45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FFFFFF"/>
                <w:sz w:val="20"/>
              </w:rPr>
              <w:t>🔑   CREDENTIALS — USER IDs &amp; PASSWORDS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664"/>
        <w:gridCol w:w="7992"/>
      </w:tblGrid>
      <w:tr>
        <w:tc>
          <w:tcPr>
            <w:tcW w:type="dxa" w:w="2664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👤  Where to find them</w:t>
            </w:r>
          </w:p>
        </w:tc>
        <w:tc>
          <w:tcPr>
            <w:tcW w:type="dxa" w:w="7992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 w:val="0"/>
                <w:i w:val="0"/>
                <w:color w:val="333F4B"/>
                <w:sz w:val="18"/>
              </w:rPr>
              <w:t xml:space="preserve">All demo logins are listed in the repository README →  </w:t>
            </w:r>
            <w:hyperlink r:id="rId11">
              <w:r>
                <w:rPr>
                  <w:rFonts w:ascii="Segoe UI" w:hAnsi="Segoe UI" w:cs="Segoe UI"/>
                  <w:b/>
                  <w:color w:val="0B6E99"/>
                  <w:sz w:val="18"/>
                  <w:szCs w:val="18"/>
                  <w:u w:val="single"/>
                </w:rPr>
                <w:t xml:space="preserve">github.com/sasashok19/uniserv/blob/main/README.md</w:t>
              </w:r>
            </w:hyperlink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E7C86"/>
            <w:tcMar>
              <w:top w:w="45" w:type="dxa"/>
              <w:start w:w="140" w:type="dxa"/>
              <w:bottom w:w="45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FFFFFF"/>
                <w:sz w:val="20"/>
              </w:rPr>
              <w:t>💻   SOURCE CODE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664"/>
        <w:gridCol w:w="7992"/>
      </w:tblGrid>
      <w:tr>
        <w:tc>
          <w:tcPr>
            <w:tcW w:type="dxa" w:w="2664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🗃  GitHub repository</w:t>
            </w:r>
          </w:p>
        </w:tc>
        <w:tc>
          <w:tcPr>
            <w:tcW w:type="dxa" w:w="7992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hyperlink r:id="rId12">
              <w:r>
                <w:rPr>
                  <w:rFonts w:ascii="Segoe UI" w:hAnsi="Segoe UI" w:cs="Segoe UI"/>
                  <w:b/>
                  <w:color w:val="0B6E99"/>
                  <w:sz w:val="19"/>
                  <w:szCs w:val="19"/>
                  <w:u w:val="single"/>
                </w:rPr>
                <w:t xml:space="preserve">https://github.com/sasashok19/uniserv/</w:t>
              </w:r>
            </w:hyperlink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   — full monorepo: services, dashboard, tests &amp; docs.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E7C86"/>
            <w:tcMar>
              <w:top w:w="45" w:type="dxa"/>
              <w:start w:w="140" w:type="dxa"/>
              <w:bottom w:w="45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FFFFFF"/>
                <w:sz w:val="20"/>
              </w:rPr>
              <w:t>📁   GOOGLE DRIVE — SUBMISSION ARTIFACTS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664"/>
        <w:gridCol w:w="7992"/>
      </w:tblGrid>
      <w:tr>
        <w:tc>
          <w:tcPr>
            <w:tcW w:type="dxa" w:w="2664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📂  Main submission folder</w:t>
            </w:r>
          </w:p>
        </w:tc>
        <w:tc>
          <w:tcPr>
            <w:tcW w:type="dxa" w:w="7992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Top-level folder containing everything below.  </w:t>
            </w:r>
            <w:hyperlink r:id="rId13">
              <w:r>
                <w:rPr>
                  <w:rFonts w:ascii="Segoe UI" w:hAnsi="Segoe UI" w:cs="Segoe UI"/>
                  <w:b/>
                  <w:color w:val="0B6E99"/>
                  <w:sz w:val="17"/>
                  <w:szCs w:val="17"/>
                  <w:u w:val="single"/>
                </w:rPr>
                <w:t xml:space="preserve">Open main folder ↗</w:t>
              </w:r>
            </w:hyperlink>
          </w:p>
        </w:tc>
      </w:tr>
      <w:tr>
        <w:tc>
          <w:tcPr>
            <w:tcW w:type="dxa" w:w="2664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📝  /docs</w:t>
            </w:r>
          </w:p>
        </w:tc>
        <w:tc>
          <w:tcPr>
            <w:tcW w:type="dxa" w:w="7992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ALL prompts used for application development.  </w:t>
            </w:r>
            <w:hyperlink r:id="rId14">
              <w:r>
                <w:rPr>
                  <w:rFonts w:ascii="Segoe UI" w:hAnsi="Segoe UI" w:cs="Segoe UI"/>
                  <w:b/>
                  <w:color w:val="0B6E99"/>
                  <w:sz w:val="17"/>
                  <w:szCs w:val="17"/>
                  <w:u w:val="single"/>
                </w:rPr>
                <w:t xml:space="preserve">Open folder ↗</w:t>
              </w:r>
            </w:hyperlink>
          </w:p>
        </w:tc>
      </w:tr>
      <w:tr>
        <w:tc>
          <w:tcPr>
            <w:tcW w:type="dxa" w:w="2664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🤖  /.claude/agents  +  /.claude/commands</w:t>
            </w:r>
          </w:p>
        </w:tc>
        <w:tc>
          <w:tcPr>
            <w:tcW w:type="dxa" w:w="7992"/>
            <w:shd w:val="clear" w:color="auto" w:fill="FFFFFF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Every agent &amp; command file used by Claude Code to generate the Integrated Market Strategy and the Digital Marketing Strategy.  </w:t>
            </w:r>
            <w:hyperlink r:id="rId15">
              <w:r>
                <w:rPr>
                  <w:rFonts w:ascii="Segoe UI" w:hAnsi="Segoe UI" w:cs="Segoe UI"/>
                  <w:b/>
                  <w:color w:val="0B6E99"/>
                  <w:sz w:val="17"/>
                  <w:szCs w:val="17"/>
                  <w:u w:val="single"/>
                </w:rPr>
                <w:t xml:space="preserve">Open folder ↗</w:t>
              </w:r>
            </w:hyperlink>
          </w:p>
        </w:tc>
      </w:tr>
      <w:tr>
        <w:tc>
          <w:tcPr>
            <w:tcW w:type="dxa" w:w="2664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140" w:type="dxa"/>
              <w:bottom w:w="48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/>
                <w:i w:val="0"/>
                <w:color w:val="0B2545"/>
                <w:sz w:val="18"/>
              </w:rPr>
              <w:t>📦  /artifacts</w:t>
            </w:r>
          </w:p>
        </w:tc>
        <w:tc>
          <w:tcPr>
            <w:tcW w:type="dxa" w:w="7992"/>
            <w:shd w:val="clear" w:color="auto" w:fill="F4F8F9"/>
            <w:tcBorders>
              <w:bottom w:val="single" w:sz="4" w:space="0" w:color="D6DEE2"/>
            </w:tcBorders>
            <w:tcMar>
              <w:top w:w="48" w:type="dxa"/>
              <w:start w:w="80" w:type="dxa"/>
              <w:bottom w:w="48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hAnsi="Segoe UI" w:cs="Segoe UI"/>
                <w:b w:val="0"/>
                <w:i w:val="0"/>
                <w:color w:val="333F4B"/>
                <w:sz w:val="17"/>
              </w:rPr>
              <w:t xml:space="preserve">Key non-code artifacts — the presentation, the video presentation, Integrated Market Strategy, Digital Marketing Strategy and UniServe_Evolution.  </w:t>
            </w:r>
            <w:hyperlink r:id="rId16">
              <w:r>
                <w:rPr>
                  <w:rFonts w:ascii="Segoe UI" w:hAnsi="Segoe UI" w:cs="Segoe UI"/>
                  <w:b/>
                  <w:color w:val="0B6E99"/>
                  <w:sz w:val="17"/>
                  <w:szCs w:val="17"/>
                  <w:u w:val="single"/>
                </w:rPr>
                <w:t xml:space="preserve">Open folder ↗</w:t>
              </w:r>
            </w:hyperlink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656"/>
      </w:tblGrid>
      <w:tr>
        <w:tc>
          <w:tcPr>
            <w:tcW w:type="dxa" w:w="10656"/>
            <w:shd w:val="clear" w:color="auto" w:fill="0B2545"/>
            <w:tcMar>
              <w:top w:w="55" w:type="dxa"/>
              <w:start w:w="150" w:type="dxa"/>
              <w:bottom w:w="55" w:type="dxa"/>
              <w:end w:w="15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Segoe UI" w:hAnsi="Segoe UI" w:cs="Segoe UI"/>
                <w:b/>
                <w:i w:val="0"/>
                <w:color w:val="9FD4DA"/>
                <w:sz w:val="16"/>
              </w:rPr>
              <w:t>UniServe  •  Group 4  •  IITM — AI Powered Product Design and Management  •  Remember: wake the services first ⚠</w:t>
            </w:r>
          </w:p>
        </w:tc>
      </w:tr>
    </w:tbl>
    <w:sectPr w:rsidR="00FC693F" w:rsidRPr="0006063C" w:rsidSect="00034616">
      <w:pgSz w:w="12240" w:h="15840"/>
      <w:pgMar w:top="605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niserv-delta.vercel.app" TargetMode="External"/><Relationship Id="rId10" Type="http://schemas.openxmlformats.org/officeDocument/2006/relationships/hyperlink" Target="mailto:uniservportal@gmail.com" TargetMode="External"/><Relationship Id="rId11" Type="http://schemas.openxmlformats.org/officeDocument/2006/relationships/hyperlink" Target="https://github.com/sasashok19/uniserv/blob/main/README.md" TargetMode="External"/><Relationship Id="rId12" Type="http://schemas.openxmlformats.org/officeDocument/2006/relationships/hyperlink" Target="https://github.com/sasashok19/uniserv/" TargetMode="External"/><Relationship Id="rId13" Type="http://schemas.openxmlformats.org/officeDocument/2006/relationships/hyperlink" Target="https://drive.google.com/drive/folders/1ym_THWjm_i8127kA8JtMMl6skJlVwIzm?usp=drive_link" TargetMode="External"/><Relationship Id="rId14" Type="http://schemas.openxmlformats.org/officeDocument/2006/relationships/hyperlink" Target="https://drive.google.com/drive/folders/1Vskha76aNXFooEQK4oA4svWI-gztBtlc?usp=drive_link" TargetMode="External"/><Relationship Id="rId15" Type="http://schemas.openxmlformats.org/officeDocument/2006/relationships/hyperlink" Target="https://drive.google.com/drive/folders/1iYsNDPiVjHCq16y1Yq5hMRx0VpA81WX3?usp=drive_link" TargetMode="External"/><Relationship Id="rId16" Type="http://schemas.openxmlformats.org/officeDocument/2006/relationships/hyperlink" Target="https://drive.google.com/drive/folders/1KCSagd5j3xakyhK3wtTAyStFSxLubQHE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