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5FAF9"/>
  <w:body>
    <w:tbl>
      <w:tblPr>
        <w:tblW w:type="auto" w:w="0"/>
        <w:tblLayout w:type="autofit"/>
        <w:tblLook w:firstColumn="1" w:firstRow="1" w:lastColumn="0" w:lastRow="0" w:noHBand="0" w:noVBand="1" w:val="04A0"/>
      </w:tblPr>
      <w:tblGrid>
        <w:gridCol w:w="9412"/>
      </w:tblGrid>
      <w:tr>
        <w:tc>
          <w:tcPr>
            <w:tcW w:type="dxa" w:w="9360"/>
            <w:shd w:val="clear" w:color="auto" w:fill="0D1B2A"/>
            <w:tcMar>
              <w:top w:w="480" w:type="dxa"/>
              <w:bottom w:w="480" w:type="dxa"/>
              <w:left w:w="400" w:type="dxa"/>
              <w:right w:w="400" w:type="dxa"/>
            </w:tcMar>
          </w:tcPr>
          <w:p>
            <w:pPr>
              <w:jc w:val="center"/>
            </w:pPr>
            <w:r>
              <w:rPr>
                <w:rFonts w:ascii="Calibri" w:hAnsi="Calibri"/>
                <w:b/>
                <w:color w:val="02C39A"/>
                <w:sz w:val="22"/>
              </w:rPr>
              <w:t>CAPSTONE PROJECT SUBMISSION</w:t>
            </w:r>
          </w:p>
          <w:p>
            <w:pPr>
              <w:jc w:val="center"/>
            </w:pPr>
            <w:r>
              <w:rPr>
                <w:rFonts w:ascii="Calibri" w:hAnsi="Calibri"/>
                <w:b/>
                <w:color w:val="FFFFFF"/>
                <w:sz w:val="40"/>
              </w:rPr>
              <w:t>UniServe</w:t>
            </w:r>
          </w:p>
          <w:p>
            <w:pPr>
              <w:jc w:val="center"/>
            </w:pPr>
            <w:r>
              <w:rPr>
                <w:rFonts w:ascii="Calibri" w:hAnsi="Calibri"/>
                <w:b/>
                <w:color w:val="FFFFFF"/>
                <w:sz w:val="60"/>
              </w:rPr>
              <w:t>Digital Marketing Strategy</w:t>
            </w:r>
          </w:p>
          <w:p>
            <w:pPr>
              <w:jc w:val="center"/>
            </w:pPr>
            <w:r>
              <w:rPr>
                <w:rFonts w:ascii="Calibri" w:hAnsi="Calibri"/>
                <w:i/>
                <w:color w:val="02C39A"/>
                <w:sz w:val="28"/>
              </w:rPr>
              <w:t>Channels, Content, Sales Enablement, Growth &amp; Community — grounded in the IMS</w:t>
            </w:r>
          </w:p>
        </w:tc>
      </w:tr>
    </w:tbl>
    <w:p/>
    <w:tbl>
      <w:tblPr>
        <w:tblW w:type="auto" w:w="0"/>
        <w:tblLook w:firstColumn="1" w:firstRow="1" w:lastColumn="0" w:lastRow="0" w:noHBand="0" w:noVBand="1" w:val="04A0"/>
      </w:tblPr>
      <w:tblGrid>
        <w:gridCol w:w="9412"/>
      </w:tblGrid>
      <w:tr>
        <w:tc>
          <w:tcPr>
            <w:tcW w:type="dxa" w:w="9412"/>
            <w:shd w:val="clear" w:color="auto" w:fill="EAF6F5"/>
          </w:tcPr>
          <w:p>
            <w:pPr>
              <w:jc w:val="center"/>
            </w:pPr>
            <w:r>
              <w:rPr>
                <w:b/>
                <w:color w:val="1B3A52"/>
                <w:sz w:val="22"/>
              </w:rPr>
              <w:t>Capstone Project — UniServe</w:t>
            </w:r>
          </w:p>
          <w:p>
            <w:pPr>
              <w:jc w:val="center"/>
            </w:pPr>
            <w:r>
              <w:rPr>
                <w:b w:val="0"/>
                <w:color w:val="1B3A52"/>
                <w:sz w:val="22"/>
              </w:rPr>
              <w:t>Prepared 2026-07-26</w:t>
            </w:r>
          </w:p>
          <w:p>
            <w:pPr>
              <w:jc w:val="center"/>
            </w:pPr>
            <w:r>
              <w:rPr>
                <w:b w:val="0"/>
                <w:color w:val="1B3A52"/>
                <w:sz w:val="22"/>
              </w:rPr>
              <w:t>Digital Marketing Moderator Process (4 specialist agents + adjudication)</w:t>
            </w:r>
          </w:p>
        </w:tc>
      </w:tr>
    </w:tbl>
    <w:p/>
    <w:p/>
    <w:p/>
    <w:p/>
    <w:p>
      <w:pPr>
        <w:jc w:val="center"/>
      </w:pPr>
      <w:r>
        <w:rPr>
          <w:i/>
          <w:color w:val="667788"/>
          <w:sz w:val="20"/>
        </w:rPr>
        <w:t>UniServe Digital Marketing Strategy — Capstone Submission</w:t>
      </w:r>
    </w:p>
    <w:p>
      <w:r>
        <w:br w:type="page"/>
      </w:r>
    </w:p>
    <w:p>
      <w:pPr>
        <w:pBdr>
          <w:bottom w:val="single" w:sz="12" w:space="4" w:color="028090"/>
        </w:pBdr>
      </w:pPr>
      <w:r>
        <w:rPr>
          <w:b/>
          <w:color w:val="0D1B2A"/>
          <w:sz w:val="36"/>
        </w:rPr>
        <w:t>Table of Contents</w:t>
      </w:r>
    </w:p>
    <w:p>
      <w:r>
        <w:fldChar w:fldCharType="begin"/>
        <w:instrText xml:space="preserve">TOC \o "1-3" \h \z \u</w:instrText>
        <w:fldChar w:fldCharType="separate"/>
      </w:r>
      <w:r>
        <w:t>Right-click and choose Update Field to generate the table of contents.</w:t>
      </w:r>
      <w:fldChar w:fldCharType="end"/>
    </w:p>
    <w:p>
      <w:r>
        <w:br w:type="page"/>
      </w:r>
    </w:p>
    <w:p>
      <w:pPr>
        <w:spacing w:before="320" w:after="160"/>
        <w:pStyle w:val="Heading1"/>
        <w:keepNext/>
        <w:pBdr>
          <w:bottom w:val="single" w:sz="14" w:space="4" w:color="028090"/>
        </w:pBdr>
      </w:pPr>
      <w:r>
        <w:rPr>
          <w:rFonts w:ascii="Calibri" w:hAnsi="Calibri"/>
          <w:b/>
          <w:color w:val="0D1B2A"/>
          <w:sz w:val="40"/>
        </w:rPr>
        <w:t>UniServe — Digital Marketing Strategy</w:t>
      </w:r>
    </w:p>
    <w:p>
      <w:r>
        <w:rPr>
          <w:b/>
          <w:color w:val="222B33"/>
          <w:sz w:val="21"/>
        </w:rPr>
        <w:t>Date:</w:t>
      </w:r>
      <w:r>
        <w:rPr>
          <w:color w:val="222B33"/>
          <w:sz w:val="21"/>
        </w:rPr>
        <w:t xml:space="preserve"> 2026-07-26 </w:t>
      </w:r>
      <w:r>
        <w:rPr>
          <w:b/>
          <w:color w:val="222B33"/>
          <w:sz w:val="21"/>
        </w:rPr>
        <w:t>Process:</w:t>
      </w:r>
      <w:r>
        <w:rPr>
          <w:color w:val="222B33"/>
          <w:sz w:val="21"/>
        </w:rPr>
        <w:t xml:space="preserve"> 4 independent specialist agents (Digital Channels, Content &amp; Thought Leadership, Sales Enablement, Growth &amp; Community) → moderator consolidation → cross-domain challenge/confirm review → final adjudication. Grounded in </w:t>
      </w:r>
      <w:r>
        <w:rPr>
          <w:rFonts w:ascii="Consolas" w:hAnsi="Consolas"/>
          <w:color w:val="222B33"/>
          <w:sz w:val="21"/>
        </w:rPr>
        <w:t>reports/market-strategy-report.md</w:t>
      </w:r>
      <w:r>
        <w:rPr>
          <w:color w:val="222B33"/>
          <w:sz w:val="21"/>
        </w:rPr>
        <w:t xml:space="preserve"> (the Integrated Market Strategy).</w:t>
      </w:r>
    </w:p>
    <w:p>
      <w:pPr>
        <w:spacing w:before="320" w:after="160"/>
        <w:pStyle w:val="Heading1"/>
        <w:keepNext/>
        <w:pBdr>
          <w:bottom w:val="single" w:sz="14" w:space="4" w:color="028090"/>
        </w:pBdr>
      </w:pPr>
      <w:r>
        <w:rPr>
          <w:rFonts w:ascii="Calibri" w:hAnsi="Calibri"/>
          <w:b/>
          <w:color w:val="0D1B2A"/>
          <w:sz w:val="40"/>
        </w:rPr>
        <w:t>1. Digital Marketing Overview</w:t>
      </w:r>
    </w:p>
    <w:p>
      <w:pPr>
        <w:spacing w:before="320" w:after="160"/>
        <w:pStyle w:val="Heading2"/>
        <w:keepNext/>
        <w:pBdr>
          <w:bottom w:val="single" w:sz="6" w:space="4" w:color="B7E4E0"/>
        </w:pBdr>
      </w:pPr>
      <w:r>
        <w:rPr>
          <w:rFonts w:ascii="Calibri" w:hAnsi="Calibri"/>
          <w:b/>
          <w:color w:val="028090"/>
          <w:sz w:val="30"/>
        </w:rPr>
        <w:t>1.1 Strategic Alignment with IMS</w:t>
      </w:r>
    </w:p>
    <w:p>
      <w:r>
        <w:rPr>
          <w:color w:val="222B33"/>
          <w:sz w:val="21"/>
        </w:rPr>
        <w:t>This DMS exists to execute, not re-derive, the IMS: Government Utilities as Primary/Beachhead (Tamil Nadu, Phase 1), BFSI mid-market as the concurrent Secondary "second engine," Healthcare/E-commerce/Telecom sequenced later per the IMS's own phase table. Every channel, content pillar, and campaign below is built to hit the IMS's Phase 1 milestone (3 paying customers, ₹15-30L ARR by Month 6) and Phase 2 milestone (20 customers, ₹1Cr ARR by Month 18) — not a generic SaaS marketing playbook.</w:t>
      </w:r>
    </w:p>
    <w:p>
      <w:r>
        <w:rPr>
          <w:b/>
          <w:color w:val="222B33"/>
          <w:sz w:val="21"/>
        </w:rPr>
        <w:t>Critical, non-negotiable constraint carried from the IMS:</w:t>
      </w:r>
      <w:r>
        <w:rPr>
          <w:color w:val="222B33"/>
          <w:sz w:val="21"/>
        </w:rPr>
        <w:t xml:space="preserve"> UniServe's product design was informed by firsthand founder observation at a Tamil Nadu Electricity Board (TNEB) customer-care/social-media desk. This is an origin story and architectural validation ONLY — there is no existing commercial or political relationship, pilot, contract, or endorsement from TNEB. Every piece of marketing and sales collateral produced under this DMS must reflect this precisely: TNEB may be referenced as "we observed this problem firsthand and built the product around it" / "demonstrated on live government-adjacent complaint data" — never as an existing customer, deployment, or reference. All four specialists independently and correctly respected this constraint through both drafting rounds; it is flagged here as a standing production-review requirement for every future asset.</w:t>
      </w:r>
    </w:p>
    <w:p>
      <w:pPr>
        <w:spacing w:before="320" w:after="160"/>
        <w:pStyle w:val="Heading2"/>
        <w:keepNext/>
        <w:pBdr>
          <w:bottom w:val="single" w:sz="6" w:space="4" w:color="B7E4E0"/>
        </w:pBdr>
      </w:pPr>
      <w:r>
        <w:rPr>
          <w:rFonts w:ascii="Calibri" w:hAnsi="Calibri"/>
          <w:b/>
          <w:color w:val="028090"/>
          <w:sz w:val="30"/>
        </w:rPr>
        <w:t>1.2 Overall Marketing Goals Y1-Y3</w:t>
      </w:r>
    </w:p>
    <w:p>
      <w:pPr>
        <w:pStyle w:val="ListBullet"/>
      </w:pPr>
      <w:r>
        <w:rPr>
          <w:b/>
          <w:color w:val="222B33"/>
          <w:sz w:val="21"/>
        </w:rPr>
        <w:t>Y1:</w:t>
      </w:r>
      <w:r>
        <w:rPr>
          <w:color w:val="222B33"/>
          <w:sz w:val="21"/>
        </w:rPr>
        <w:t xml:space="preserve"> Support the Phase 1 govt-utility beachhead (3 paying customers) and begin BFSI mid-market pipeline-building ahead of its late-Phase-1/early-Phase-2 entry. Build the foundational content/credibility assets (compliance guides, benchmark survey, IIT Pravartak-sourced pilots) that substitute for case studies given zero paying customers exist today.</w:t>
      </w:r>
    </w:p>
    <w:p>
      <w:pPr>
        <w:pStyle w:val="ListBullet"/>
      </w:pPr>
      <w:r>
        <w:rPr>
          <w:b/>
          <w:color w:val="222B33"/>
          <w:sz w:val="21"/>
        </w:rPr>
        <w:t>Y2:</w:t>
      </w:r>
      <w:r>
        <w:rPr>
          <w:color w:val="222B33"/>
          <w:sz w:val="21"/>
        </w:rPr>
        <w:t xml:space="preserve"> Scale the BFSI LinkedIn outbound engine and the GovTech sandbox/challenge circuit; convert the first real customer(s) into case studies within 60-90 days of go-live; launch the India GovCX community publicly; begin regional-language content only once the Month 9/18 Hindi/regional-language product gates are actually met.</w:t>
      </w:r>
    </w:p>
    <w:p>
      <w:pPr>
        <w:pStyle w:val="ListBullet"/>
      </w:pPr>
      <w:r>
        <w:rPr>
          <w:b/>
          <w:color w:val="222B33"/>
          <w:sz w:val="21"/>
        </w:rPr>
        <w:t>Y3:</w:t>
      </w:r>
      <w:r>
        <w:rPr>
          <w:color w:val="222B33"/>
          <w:sz w:val="21"/>
        </w:rPr>
        <w:t xml:space="preserve"> Support national-scale expansion (Phase 3) into Telecom/Healthcare with segment-specific content and channels stood up fresh (not retrofitted from Y1 govt/BFSI assets), and begin testing the SI/partner channel's own marketing motion.</w:t>
      </w:r>
    </w:p>
    <w:p>
      <w:pPr>
        <w:spacing w:before="320" w:after="160"/>
        <w:pStyle w:val="Heading2"/>
        <w:keepNext/>
        <w:pBdr>
          <w:bottom w:val="single" w:sz="6" w:space="4" w:color="B7E4E0"/>
        </w:pBdr>
      </w:pPr>
      <w:r>
        <w:rPr>
          <w:rFonts w:ascii="Calibri" w:hAnsi="Calibri"/>
          <w:b/>
          <w:color w:val="028090"/>
          <w:sz w:val="30"/>
        </w:rPr>
        <w:t>1.3 Budget Framework</w:t>
      </w:r>
    </w:p>
    <w:p>
      <w:r>
        <w:rPr>
          <w:color w:val="222B33"/>
          <w:sz w:val="21"/>
        </w:rPr>
        <w:t xml:space="preserve">Y1 total: </w:t>
      </w:r>
      <w:r>
        <w:rPr>
          <w:b/>
          <w:color w:val="222B33"/>
          <w:sz w:val="21"/>
        </w:rPr>
        <w:t>₹25-35 lakhs</w:t>
      </w:r>
      <w:r>
        <w:rPr>
          <w:color w:val="222B33"/>
          <w:sz w:val="21"/>
        </w:rPr>
        <w:t xml:space="preserve"> (midpoint ₹30L used for planning), consistent with the IMS's explicit statement that this is a lean, seed-stage budget, not a funded scale-up budget. Marketing is founder/small-team-led — content production assumes no agency retainer.</w:t>
      </w:r>
    </w:p>
    <w:p>
      <w:pPr>
        <w:spacing w:before="320" w:after="160"/>
        <w:pStyle w:val="Heading1"/>
        <w:keepNext/>
        <w:pBdr>
          <w:bottom w:val="single" w:sz="14" w:space="4" w:color="028090"/>
        </w:pBdr>
      </w:pPr>
      <w:r>
        <w:rPr>
          <w:rFonts w:ascii="Calibri" w:hAnsi="Calibri"/>
          <w:b/>
          <w:color w:val="0D1B2A"/>
          <w:sz w:val="40"/>
        </w:rPr>
        <w:t>2. Channel Strategy</w:t>
      </w:r>
    </w:p>
    <w:p>
      <w:pPr>
        <w:spacing w:before="320" w:after="160"/>
        <w:pStyle w:val="Heading2"/>
        <w:keepNext/>
        <w:pBdr>
          <w:bottom w:val="single" w:sz="6" w:space="4" w:color="B7E4E0"/>
        </w:pBdr>
      </w:pPr>
      <w:r>
        <w:rPr>
          <w:rFonts w:ascii="Calibri" w:hAnsi="Calibri"/>
          <w:b/>
          <w:color w:val="028090"/>
          <w:sz w:val="30"/>
        </w:rPr>
        <w:t>2.1 Channel Mix by Segment</w:t>
      </w:r>
    </w:p>
    <w:p>
      <w:pPr>
        <w:pStyle w:val="Heading3"/>
        <w:keepNext/>
        <w:spacing w:before="200" w:after="80"/>
      </w:pPr>
      <w:r>
        <w:rPr>
          <w:rFonts w:ascii="Calibri" w:hAnsi="Calibri"/>
          <w:b/>
          <w:color w:val="1B3A52"/>
          <w:sz w:val="25"/>
        </w:rPr>
        <w:t>Government Utilities (Primary/Beachhead)</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0D1B2A"/>
          </w:tcPr>
          <w:p>
            <w:r>
              <w:rPr>
                <w:b/>
                <w:color w:val="FFFFFF"/>
                <w:sz w:val="19"/>
              </w:rPr>
            </w:r>
            <w:r>
              <w:rPr>
                <w:b/>
                <w:color w:val="FFFFFF"/>
                <w:sz w:val="19"/>
              </w:rPr>
              <w:t>Channel</w:t>
            </w:r>
          </w:p>
        </w:tc>
        <w:tc>
          <w:tcPr>
            <w:tcW w:type="dxa" w:w="2353"/>
            <w:shd w:val="clear" w:color="auto" w:fill="0D1B2A"/>
          </w:tcPr>
          <w:p>
            <w:r>
              <w:rPr>
                <w:b/>
                <w:color w:val="FFFFFF"/>
                <w:sz w:val="19"/>
              </w:rPr>
            </w:r>
            <w:r>
              <w:rPr>
                <w:b/>
                <w:color w:val="FFFFFF"/>
                <w:sz w:val="19"/>
              </w:rPr>
              <w:t>Why it works in India</w:t>
            </w:r>
          </w:p>
        </w:tc>
        <w:tc>
          <w:tcPr>
            <w:tcW w:type="dxa" w:w="2353"/>
            <w:shd w:val="clear" w:color="auto" w:fill="0D1B2A"/>
          </w:tcPr>
          <w:p>
            <w:r>
              <w:rPr>
                <w:b/>
                <w:color w:val="FFFFFF"/>
                <w:sz w:val="19"/>
              </w:rPr>
            </w:r>
            <w:r>
              <w:rPr>
                <w:b/>
                <w:color w:val="FFFFFF"/>
                <w:sz w:val="19"/>
              </w:rPr>
              <w:t>What NOT to do</w:t>
            </w:r>
          </w:p>
        </w:tc>
        <w:tc>
          <w:tcPr>
            <w:tcW w:type="dxa" w:w="2353"/>
            <w:shd w:val="clear" w:color="auto" w:fill="0D1B2A"/>
          </w:tcPr>
          <w:p>
            <w:r>
              <w:rPr>
                <w:b/>
                <w:color w:val="FFFFFF"/>
                <w:sz w:val="19"/>
              </w:rPr>
            </w:r>
            <w:r>
              <w:rPr>
                <w:b/>
                <w:color w:val="FFFFFF"/>
                <w:sz w:val="19"/>
              </w:rPr>
              <w:t>Est. CPL/cost unit</w:t>
            </w:r>
          </w:p>
        </w:tc>
      </w:tr>
      <w:tr>
        <w:tc>
          <w:tcPr>
            <w:tcW w:type="dxa" w:w="2353"/>
          </w:tcPr>
          <w:p>
            <w:r>
              <w:rPr>
                <w:color w:val="222B33"/>
                <w:sz w:val="18"/>
              </w:rPr>
            </w:r>
            <w:r>
              <w:rPr>
                <w:color w:val="222B33"/>
                <w:sz w:val="18"/>
              </w:rPr>
              <w:t>LinkedIn (organic + narrow sponsored)</w:t>
            </w:r>
          </w:p>
        </w:tc>
        <w:tc>
          <w:tcPr>
            <w:tcW w:type="dxa" w:w="2353"/>
          </w:tcPr>
          <w:p>
            <w:r>
              <w:rPr>
                <w:color w:val="222B33"/>
                <w:sz w:val="18"/>
              </w:rPr>
            </w:r>
            <w:r>
              <w:rPr>
                <w:color w:val="222B33"/>
                <w:sz w:val="18"/>
              </w:rPr>
              <w:t>Not a direct-response channel for CGM/IAS-level officials (vigilance/CVC optics make cold private-sector contact risky for them) — its real value is upstream credibility-building that surfaces before a warm intro.</w:t>
            </w:r>
          </w:p>
        </w:tc>
        <w:tc>
          <w:tcPr>
            <w:tcW w:type="dxa" w:w="2353"/>
          </w:tcPr>
          <w:p>
            <w:r>
              <w:rPr>
                <w:color w:val="222B33"/>
                <w:sz w:val="18"/>
              </w:rPr>
            </w:r>
            <w:r>
              <w:rPr>
                <w:color w:val="222B33"/>
                <w:sz w:val="18"/>
              </w:rPr>
              <w:t>No cold InMail to IAS/CGM titles; no paid "government official" targeting expecting form-fill conversions.</w:t>
            </w:r>
          </w:p>
        </w:tc>
        <w:tc>
          <w:tcPr>
            <w:tcW w:type="dxa" w:w="2353"/>
          </w:tcPr>
          <w:p>
            <w:r>
              <w:rPr>
                <w:color w:val="222B33"/>
                <w:sz w:val="18"/>
              </w:rPr>
            </w:r>
            <w:r>
              <w:rPr>
                <w:color w:val="222B33"/>
                <w:sz w:val="18"/>
              </w:rPr>
              <w:t>Not a CPL channel — brand-cost only (~₹3,000-6,000/InMail attempt if forced to quantify, effectively sunk)</w:t>
            </w:r>
          </w:p>
        </w:tc>
      </w:tr>
      <w:tr>
        <w:tc>
          <w:tcPr>
            <w:tcW w:type="dxa" w:w="2353"/>
            <w:shd w:val="clear" w:color="auto" w:fill="EAF6F5"/>
          </w:tcPr>
          <w:p>
            <w:r>
              <w:rPr>
                <w:color w:val="222B33"/>
                <w:sz w:val="18"/>
              </w:rPr>
            </w:r>
            <w:r>
              <w:rPr>
                <w:color w:val="222B33"/>
                <w:sz w:val="18"/>
              </w:rPr>
              <w:t>Government events (eGov/eINDIA, state ITE&amp;C forums)</w:t>
            </w:r>
          </w:p>
        </w:tc>
        <w:tc>
          <w:tcPr>
            <w:tcW w:type="dxa" w:w="2353"/>
            <w:shd w:val="clear" w:color="auto" w:fill="EAF6F5"/>
          </w:tcPr>
          <w:p>
            <w:r>
              <w:rPr>
                <w:color w:val="222B33"/>
                <w:sz w:val="18"/>
              </w:rPr>
            </w:r>
            <w:r>
              <w:rPr>
                <w:color w:val="222B33"/>
                <w:sz w:val="18"/>
              </w:rPr>
              <w:t>Where actual budget-holders and tender/RFP signals surface; speaking slots carry far more credibility than a vendor booth for an unproven seed-stage company. Prioritise TN/South India events first.</w:t>
            </w:r>
          </w:p>
        </w:tc>
        <w:tc>
          <w:tcPr>
            <w:tcW w:type="dxa" w:w="2353"/>
            <w:shd w:val="clear" w:color="auto" w:fill="EAF6F5"/>
          </w:tcPr>
          <w:p>
            <w:r>
              <w:rPr>
                <w:color w:val="222B33"/>
                <w:sz w:val="18"/>
              </w:rPr>
            </w:r>
            <w:r>
              <w:rPr>
                <w:color w:val="222B33"/>
                <w:sz w:val="18"/>
              </w:rPr>
              <w:t>No generic national-event booth (₹3-8L) with no case study to show; no pan-India events before TN is proven.</w:t>
            </w:r>
          </w:p>
        </w:tc>
        <w:tc>
          <w:tcPr>
            <w:tcW w:type="dxa" w:w="2353"/>
            <w:shd w:val="clear" w:color="auto" w:fill="EAF6F5"/>
          </w:tcPr>
          <w:p>
            <w:r>
              <w:rPr>
                <w:color w:val="222B33"/>
                <w:sz w:val="18"/>
              </w:rPr>
            </w:r>
            <w:r>
              <w:rPr>
                <w:color w:val="222B33"/>
                <w:sz w:val="18"/>
              </w:rPr>
              <w:t>₹15,000-40,000 per qualified meeting (track cost-per-meeting, not CPL)</w:t>
            </w:r>
          </w:p>
        </w:tc>
      </w:tr>
      <w:tr>
        <w:tc>
          <w:tcPr>
            <w:tcW w:type="dxa" w:w="2353"/>
          </w:tcPr>
          <w:p>
            <w:r>
              <w:rPr>
                <w:color w:val="222B33"/>
                <w:sz w:val="18"/>
              </w:rPr>
            </w:r>
            <w:r>
              <w:rPr>
                <w:color w:val="222B33"/>
                <w:sz w:val="18"/>
              </w:rPr>
              <w:t>Direct email outreach</w:t>
            </w:r>
          </w:p>
        </w:tc>
        <w:tc>
          <w:tcPr>
            <w:tcW w:type="dxa" w:w="2353"/>
          </w:tcPr>
          <w:p>
            <w:r>
              <w:rPr>
                <w:color w:val="222B33"/>
                <w:sz w:val="18"/>
              </w:rPr>
            </w:r>
            <w:r>
              <w:rPr>
                <w:color w:val="222B33"/>
                <w:sz w:val="18"/>
              </w:rPr>
              <w:t>Only works as warm-intro follow-up after a referral/event handshake — govt inboxes are gatekept, cold vendor email is filtered.</w:t>
            </w:r>
          </w:p>
        </w:tc>
        <w:tc>
          <w:tcPr>
            <w:tcW w:type="dxa" w:w="2353"/>
          </w:tcPr>
          <w:p>
            <w:r>
              <w:rPr>
                <w:color w:val="222B33"/>
                <w:sz w:val="18"/>
              </w:rPr>
            </w:r>
            <w:r>
              <w:rPr>
                <w:color w:val="222B33"/>
                <w:sz w:val="18"/>
              </w:rPr>
              <w:t>No mass-email to scraped "grievance officer" lists — damages sender reputation and reads as spam in a trust-dependent sector.</w:t>
            </w:r>
          </w:p>
        </w:tc>
        <w:tc>
          <w:tcPr>
            <w:tcW w:type="dxa" w:w="2353"/>
          </w:tcPr>
          <w:p>
            <w:r>
              <w:rPr>
                <w:color w:val="222B33"/>
                <w:sz w:val="18"/>
              </w:rPr>
            </w:r>
            <w:r>
              <w:rPr>
                <w:color w:val="222B33"/>
                <w:sz w:val="18"/>
              </w:rPr>
              <w:t>N/A as lead-gen; track as an assist metric only</w:t>
            </w:r>
          </w:p>
        </w:tc>
      </w:tr>
      <w:tr>
        <w:tc>
          <w:tcPr>
            <w:tcW w:type="dxa" w:w="2353"/>
            <w:shd w:val="clear" w:color="auto" w:fill="EAF6F5"/>
          </w:tcPr>
          <w:p>
            <w:r>
              <w:rPr>
                <w:color w:val="222B33"/>
                <w:sz w:val="18"/>
              </w:rPr>
            </w:r>
            <w:r>
              <w:rPr>
                <w:color w:val="222B33"/>
                <w:sz w:val="18"/>
              </w:rPr>
              <w:t>Industry associations (CII/ASSOCHAM state power &amp; water committees, NASSCOM GovTech/DPI council)</w:t>
            </w:r>
          </w:p>
        </w:tc>
        <w:tc>
          <w:tcPr>
            <w:tcW w:type="dxa" w:w="2353"/>
            <w:shd w:val="clear" w:color="auto" w:fill="EAF6F5"/>
          </w:tcPr>
          <w:p>
            <w:r>
              <w:rPr>
                <w:color w:val="222B33"/>
                <w:sz w:val="18"/>
              </w:rPr>
            </w:r>
            <w:r>
              <w:rPr>
                <w:color w:val="222B33"/>
                <w:sz w:val="18"/>
              </w:rPr>
              <w:t>Peer/policy-framed face-time with decision-makers — the most efficient access channel for this persona.</w:t>
            </w:r>
          </w:p>
        </w:tc>
        <w:tc>
          <w:tcPr>
            <w:tcW w:type="dxa" w:w="2353"/>
            <w:shd w:val="clear" w:color="auto" w:fill="EAF6F5"/>
          </w:tcPr>
          <w:p>
            <w:r>
              <w:rPr>
                <w:color w:val="222B33"/>
                <w:sz w:val="18"/>
              </w:rPr>
            </w:r>
            <w:r>
              <w:rPr>
                <w:color w:val="222B33"/>
                <w:sz w:val="18"/>
              </w:rPr>
              <w:t>No generic national chamber membership without sector-specific working-group access.</w:t>
            </w:r>
          </w:p>
        </w:tc>
        <w:tc>
          <w:tcPr>
            <w:tcW w:type="dxa" w:w="2353"/>
            <w:shd w:val="clear" w:color="auto" w:fill="EAF6F5"/>
          </w:tcPr>
          <w:p>
            <w:r>
              <w:rPr>
                <w:color w:val="222B33"/>
                <w:sz w:val="18"/>
              </w:rPr>
            </w:r>
            <w:r>
              <w:rPr>
                <w:color w:val="222B33"/>
                <w:sz w:val="18"/>
              </w:rPr>
              <w:t>₹50,000-2,00,000/yr membership — pipeline-influence cost, not CPL</w:t>
            </w:r>
          </w:p>
        </w:tc>
      </w:tr>
      <w:tr>
        <w:tc>
          <w:tcPr>
            <w:tcW w:type="dxa" w:w="2353"/>
          </w:tcPr>
          <w:p>
            <w:r>
              <w:rPr>
                <w:color w:val="222B33"/>
                <w:sz w:val="18"/>
              </w:rPr>
            </w:r>
            <w:r>
              <w:rPr>
                <w:color w:val="222B33"/>
                <w:sz w:val="18"/>
              </w:rPr>
              <w:t>IIT/IIM research tie-ups (IIT Pravartak angle)</w:t>
            </w:r>
          </w:p>
        </w:tc>
        <w:tc>
          <w:tcPr>
            <w:tcW w:type="dxa" w:w="2353"/>
          </w:tcPr>
          <w:p>
            <w:r>
              <w:rPr>
                <w:color w:val="222B33"/>
                <w:sz w:val="18"/>
              </w:rPr>
            </w:r>
            <w:r>
              <w:rPr>
                <w:color w:val="222B33"/>
                <w:sz w:val="18"/>
              </w:rPr>
              <w:t>Flagged by the IMS as the fastest unlock — lowers perceived risk, unlocks innovation-sandbox/GovTech-challenge budgets outside normal procurement. Should be actively resourced.</w:t>
            </w:r>
          </w:p>
        </w:tc>
        <w:tc>
          <w:tcPr>
            <w:tcW w:type="dxa" w:w="2353"/>
          </w:tcPr>
          <w:p>
            <w:r>
              <w:rPr>
                <w:color w:val="222B33"/>
                <w:sz w:val="18"/>
              </w:rPr>
            </w:r>
            <w:r>
              <w:rPr>
                <w:color w:val="222B33"/>
                <w:sz w:val="18"/>
              </w:rPr>
              <w:t>Must never be framed, in any collateral or conversation, as an existing TNEB commercial relationship or endorsement.</w:t>
            </w:r>
          </w:p>
        </w:tc>
        <w:tc>
          <w:tcPr>
            <w:tcW w:type="dxa" w:w="2353"/>
          </w:tcPr>
          <w:p>
            <w:r>
              <w:rPr>
                <w:color w:val="222B33"/>
                <w:sz w:val="18"/>
              </w:rPr>
            </w:r>
            <w:r>
              <w:rPr>
                <w:color w:val="222B33"/>
                <w:sz w:val="18"/>
              </w:rPr>
              <w:t>Low cash cost — highest credibility-per-rupee channel in the plan</w:t>
            </w:r>
          </w:p>
        </w:tc>
      </w:tr>
      <w:tr>
        <w:tc>
          <w:tcPr>
            <w:tcW w:type="dxa" w:w="2353"/>
            <w:shd w:val="clear" w:color="auto" w:fill="EAF6F5"/>
          </w:tcPr>
          <w:p>
            <w:r>
              <w:rPr>
                <w:color w:val="222B33"/>
                <w:sz w:val="18"/>
              </w:rPr>
            </w:r>
            <w:r>
              <w:rPr>
                <w:color w:val="222B33"/>
                <w:sz w:val="18"/>
              </w:rPr>
              <w:t>State government innovation challenges/GovTech sandboxes</w:t>
            </w:r>
          </w:p>
        </w:tc>
        <w:tc>
          <w:tcPr>
            <w:tcW w:type="dxa" w:w="2353"/>
            <w:shd w:val="clear" w:color="auto" w:fill="EAF6F5"/>
          </w:tcPr>
          <w:p>
            <w:r>
              <w:rPr>
                <w:color w:val="222B33"/>
                <w:sz w:val="18"/>
              </w:rPr>
            </w:r>
            <w:r>
              <w:rPr>
                <w:color w:val="222B33"/>
                <w:sz w:val="18"/>
              </w:rPr>
              <w:t>Bypass normal procurement, carry small non-dilutive pilot budgets, match the IMS's 6-month pilot-first cycle.</w:t>
            </w:r>
          </w:p>
        </w:tc>
        <w:tc>
          <w:tcPr>
            <w:tcW w:type="dxa" w:w="2353"/>
            <w:shd w:val="clear" w:color="auto" w:fill="EAF6F5"/>
          </w:tcPr>
          <w:p>
            <w:r>
              <w:rPr>
                <w:color w:val="222B33"/>
                <w:sz w:val="18"/>
              </w:rPr>
            </w:r>
            <w:r>
              <w:rPr>
                <w:color w:val="222B33"/>
                <w:sz w:val="18"/>
              </w:rPr>
              <w:t>Don't apply generically — tailor each application to the specific discom/water-board pain point.</w:t>
            </w:r>
          </w:p>
        </w:tc>
        <w:tc>
          <w:tcPr>
            <w:tcW w:type="dxa" w:w="2353"/>
            <w:shd w:val="clear" w:color="auto" w:fill="EAF6F5"/>
          </w:tcPr>
          <w:p>
            <w:r>
              <w:rPr>
                <w:color w:val="222B33"/>
                <w:sz w:val="18"/>
              </w:rPr>
            </w:r>
            <w:r>
              <w:rPr>
                <w:color w:val="222B33"/>
                <w:sz w:val="18"/>
              </w:rPr>
              <w:t>₹0-50,000/application prep cost; potential pilot funding offset</w:t>
            </w:r>
          </w:p>
        </w:tc>
      </w:tr>
    </w:tbl>
    <w:p/>
    <w:p>
      <w:pPr>
        <w:pStyle w:val="Heading3"/>
        <w:keepNext/>
        <w:spacing w:before="200" w:after="80"/>
      </w:pPr>
      <w:r>
        <w:rPr>
          <w:rFonts w:ascii="Calibri" w:hAnsi="Calibri"/>
          <w:b/>
          <w:color w:val="1B3A52"/>
          <w:sz w:val="25"/>
        </w:rPr>
        <w:t>BFSI Mid-Market (Secondary/Concurrent Second Engine)</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0D1B2A"/>
          </w:tcPr>
          <w:p>
            <w:r>
              <w:rPr>
                <w:b/>
                <w:color w:val="FFFFFF"/>
                <w:sz w:val="19"/>
              </w:rPr>
            </w:r>
            <w:r>
              <w:rPr>
                <w:b/>
                <w:color w:val="FFFFFF"/>
                <w:sz w:val="19"/>
              </w:rPr>
              <w:t>Channel</w:t>
            </w:r>
          </w:p>
        </w:tc>
        <w:tc>
          <w:tcPr>
            <w:tcW w:type="dxa" w:w="2353"/>
            <w:shd w:val="clear" w:color="auto" w:fill="0D1B2A"/>
          </w:tcPr>
          <w:p>
            <w:r>
              <w:rPr>
                <w:b/>
                <w:color w:val="FFFFFF"/>
                <w:sz w:val="19"/>
              </w:rPr>
            </w:r>
            <w:r>
              <w:rPr>
                <w:b/>
                <w:color w:val="FFFFFF"/>
                <w:sz w:val="19"/>
              </w:rPr>
              <w:t>Why it works in India</w:t>
            </w:r>
          </w:p>
        </w:tc>
        <w:tc>
          <w:tcPr>
            <w:tcW w:type="dxa" w:w="2353"/>
            <w:shd w:val="clear" w:color="auto" w:fill="0D1B2A"/>
          </w:tcPr>
          <w:p>
            <w:r>
              <w:rPr>
                <w:b/>
                <w:color w:val="FFFFFF"/>
                <w:sz w:val="19"/>
              </w:rPr>
            </w:r>
            <w:r>
              <w:rPr>
                <w:b/>
                <w:color w:val="FFFFFF"/>
                <w:sz w:val="19"/>
              </w:rPr>
              <w:t>What NOT to do</w:t>
            </w:r>
          </w:p>
        </w:tc>
        <w:tc>
          <w:tcPr>
            <w:tcW w:type="dxa" w:w="2353"/>
            <w:shd w:val="clear" w:color="auto" w:fill="0D1B2A"/>
          </w:tcPr>
          <w:p>
            <w:r>
              <w:rPr>
                <w:b/>
                <w:color w:val="FFFFFF"/>
                <w:sz w:val="19"/>
              </w:rPr>
            </w:r>
            <w:r>
              <w:rPr>
                <w:b/>
                <w:color w:val="FFFFFF"/>
                <w:sz w:val="19"/>
              </w:rPr>
              <w:t>Est. CPL/cost unit</w:t>
            </w:r>
          </w:p>
        </w:tc>
      </w:tr>
      <w:tr>
        <w:tc>
          <w:tcPr>
            <w:tcW w:type="dxa" w:w="2353"/>
          </w:tcPr>
          <w:p>
            <w:r>
              <w:rPr>
                <w:color w:val="222B33"/>
                <w:sz w:val="18"/>
              </w:rPr>
            </w:r>
            <w:r>
              <w:rPr>
                <w:color w:val="222B33"/>
                <w:sz w:val="18"/>
              </w:rPr>
              <w:t>LinkedIn (paid: sponsored content + targeted precision outbound)</w:t>
            </w:r>
          </w:p>
        </w:tc>
        <w:tc>
          <w:tcPr>
            <w:tcW w:type="dxa" w:w="2353"/>
          </w:tcPr>
          <w:p>
            <w:r>
              <w:rPr>
                <w:color w:val="222B33"/>
                <w:sz w:val="18"/>
              </w:rPr>
            </w:r>
            <w:r>
              <w:rPr>
                <w:color w:val="222B33"/>
                <w:sz w:val="18"/>
              </w:rPr>
              <w:t>NBFC/SFB/coop-bank CX and Grievance Redressal heads are private-sector professionals, LinkedIn-active, comfortable with vendor InMail. Precision title-targeting (CX Head, Chief Compliance Officer) at NBFC/SFB scale is available and reachable — the IMS's designated "second engine" runs primarily through this channel.</w:t>
            </w:r>
          </w:p>
        </w:tc>
        <w:tc>
          <w:tcPr>
            <w:tcW w:type="dxa" w:w="2353"/>
          </w:tcPr>
          <w:p>
            <w:r>
              <w:rPr>
                <w:color w:val="222B33"/>
                <w:sz w:val="18"/>
              </w:rPr>
            </w:r>
            <w:r>
              <w:rPr>
                <w:color w:val="222B33"/>
                <w:sz w:val="18"/>
              </w:rPr>
              <w:t>No large-bank CXO targeting (IMS explicitly excludes large banks from this segment). No generic "helpdesk software" messaging — lead with RBI Ombudsman TAT compliance specifically.</w:t>
            </w:r>
          </w:p>
        </w:tc>
        <w:tc>
          <w:tcPr>
            <w:tcW w:type="dxa" w:w="2353"/>
          </w:tcPr>
          <w:p>
            <w:r>
              <w:rPr>
                <w:color w:val="222B33"/>
                <w:sz w:val="18"/>
              </w:rPr>
            </w:r>
            <w:r>
              <w:rPr>
                <w:color w:val="222B33"/>
                <w:sz w:val="18"/>
              </w:rPr>
              <w:t>₹1,500-3,000/lead (LinkedIn Lead Gen Forms) via paid; ₹3,000-8,000/qualified lead via curated 1:1 outbound sequencing (15-20 accounts/week)</w:t>
            </w:r>
          </w:p>
        </w:tc>
      </w:tr>
      <w:tr>
        <w:tc>
          <w:tcPr>
            <w:tcW w:type="dxa" w:w="2353"/>
            <w:shd w:val="clear" w:color="auto" w:fill="EAF6F5"/>
          </w:tcPr>
          <w:p>
            <w:r>
              <w:rPr>
                <w:color w:val="222B33"/>
                <w:sz w:val="18"/>
              </w:rPr>
            </w:r>
            <w:r>
              <w:rPr>
                <w:color w:val="222B33"/>
                <w:sz w:val="18"/>
              </w:rPr>
              <w:t>BFSI industry events — regional/mid-tier</w:t>
            </w:r>
          </w:p>
        </w:tc>
        <w:tc>
          <w:tcPr>
            <w:tcW w:type="dxa" w:w="2353"/>
            <w:shd w:val="clear" w:color="auto" w:fill="EAF6F5"/>
          </w:tcPr>
          <w:p>
            <w:r>
              <w:rPr>
                <w:color w:val="222B33"/>
                <w:sz w:val="18"/>
              </w:rPr>
            </w:r>
            <w:r>
              <w:rPr>
                <w:color w:val="222B33"/>
                <w:sz w:val="18"/>
              </w:rPr>
              <w:t>Mid-market NBFC/SFB buyers cluster at regional/sector events, not marquee large-bank stages.</w:t>
            </w:r>
          </w:p>
        </w:tc>
        <w:tc>
          <w:tcPr>
            <w:tcW w:type="dxa" w:w="2353"/>
            <w:shd w:val="clear" w:color="auto" w:fill="EAF6F5"/>
          </w:tcPr>
          <w:p>
            <w:r>
              <w:rPr>
                <w:color w:val="222B33"/>
                <w:sz w:val="18"/>
              </w:rPr>
            </w:r>
            <w:r>
              <w:rPr>
                <w:color w:val="222B33"/>
                <w:sz w:val="18"/>
              </w:rPr>
              <w:t>No sponsorship of headline events (Global Fintech Fest, FIBAC main stage) — large-bank-skewed, poor fit, no case study to show yet.</w:t>
            </w:r>
          </w:p>
        </w:tc>
        <w:tc>
          <w:tcPr>
            <w:tcW w:type="dxa" w:w="2353"/>
            <w:shd w:val="clear" w:color="auto" w:fill="EAF6F5"/>
          </w:tcPr>
          <w:p>
            <w:r>
              <w:rPr>
                <w:color w:val="222B33"/>
                <w:sz w:val="18"/>
              </w:rPr>
            </w:r>
            <w:r>
              <w:rPr>
                <w:color w:val="222B33"/>
                <w:sz w:val="18"/>
              </w:rPr>
              <w:t>₹1-3L modest regional sponsorship; attendance-only networking near-zero cost</w:t>
            </w:r>
          </w:p>
        </w:tc>
      </w:tr>
      <w:tr>
        <w:tc>
          <w:tcPr>
            <w:tcW w:type="dxa" w:w="2353"/>
          </w:tcPr>
          <w:p>
            <w:r>
              <w:rPr>
                <w:color w:val="222B33"/>
                <w:sz w:val="18"/>
              </w:rPr>
            </w:r>
            <w:r>
              <w:rPr>
                <w:color w:val="222B33"/>
                <w:sz w:val="18"/>
              </w:rPr>
              <w:t>Analyst relations (micro-briefings)</w:t>
            </w:r>
          </w:p>
        </w:tc>
        <w:tc>
          <w:tcPr>
            <w:tcW w:type="dxa" w:w="2353"/>
          </w:tcPr>
          <w:p>
            <w:r>
              <w:rPr>
                <w:color w:val="222B33"/>
                <w:sz w:val="18"/>
              </w:rPr>
            </w:r>
            <w:r>
              <w:rPr>
                <w:color w:val="222B33"/>
                <w:sz w:val="18"/>
              </w:rPr>
              <w:t>Boutique India-focused analysts will take unpaid briefing calls from credible seed-stage vendors — cheap long-horizon credibility.</w:t>
            </w:r>
          </w:p>
        </w:tc>
        <w:tc>
          <w:tcPr>
            <w:tcW w:type="dxa" w:w="2353"/>
          </w:tcPr>
          <w:p>
            <w:r>
              <w:rPr>
                <w:color w:val="222B33"/>
                <w:sz w:val="18"/>
              </w:rPr>
            </w:r>
            <w:r>
              <w:rPr>
                <w:color w:val="222B33"/>
                <w:sz w:val="18"/>
              </w:rPr>
              <w:t>No paid full analyst-firm engagement at this budget stage.</w:t>
            </w:r>
          </w:p>
        </w:tc>
        <w:tc>
          <w:tcPr>
            <w:tcW w:type="dxa" w:w="2353"/>
          </w:tcPr>
          <w:p>
            <w:r>
              <w:rPr>
                <w:color w:val="222B33"/>
                <w:sz w:val="18"/>
              </w:rPr>
            </w:r>
            <w:r>
              <w:rPr>
                <w:color w:val="222B33"/>
                <w:sz w:val="18"/>
              </w:rPr>
              <w:t>Time cost only — 6-12 month credibility investment, not lead gen</w:t>
            </w:r>
          </w:p>
        </w:tc>
      </w:tr>
      <w:tr>
        <w:tc>
          <w:tcPr>
            <w:tcW w:type="dxa" w:w="2353"/>
            <w:shd w:val="clear" w:color="auto" w:fill="EAF6F5"/>
          </w:tcPr>
          <w:p>
            <w:r>
              <w:rPr>
                <w:color w:val="222B33"/>
                <w:sz w:val="18"/>
              </w:rPr>
            </w:r>
            <w:r>
              <w:rPr>
                <w:color w:val="222B33"/>
                <w:sz w:val="18"/>
              </w:rPr>
              <w:t>RBI/IRDAI compliance content as owned media</w:t>
            </w:r>
          </w:p>
        </w:tc>
        <w:tc>
          <w:tcPr>
            <w:tcW w:type="dxa" w:w="2353"/>
            <w:shd w:val="clear" w:color="auto" w:fill="EAF6F5"/>
          </w:tcPr>
          <w:p>
            <w:r>
              <w:rPr>
                <w:color w:val="222B33"/>
                <w:sz w:val="18"/>
              </w:rPr>
            </w:r>
            <w:r>
              <w:rPr>
                <w:color w:val="222B33"/>
                <w:sz w:val="18"/>
              </w:rPr>
              <w:t xml:space="preserve">The literal reason this persona buys; positions UniServe as compliance-literate vs. generic incumbents who don't lead with this. </w:t>
            </w:r>
            <w:r>
              <w:rPr>
                <w:b/>
                <w:color w:val="222B33"/>
                <w:sz w:val="18"/>
              </w:rPr>
              <w:t>Adjudicated status (see Process Notes): this is the same content asset that feeds Lead Engine 3's outbound credibility (Section 5.1) — it is tracked as a subordinate line under Engine 3's dashboard block (a kill-threshold only, no independent growth target), not as a fourth funded engine competing for its own budget.</w:t>
            </w:r>
          </w:p>
        </w:tc>
        <w:tc>
          <w:tcPr>
            <w:tcW w:type="dxa" w:w="2353"/>
            <w:shd w:val="clear" w:color="auto" w:fill="EAF6F5"/>
          </w:tcPr>
          <w:p>
            <w:r>
              <w:rPr>
                <w:color w:val="222B33"/>
                <w:sz w:val="18"/>
              </w:rPr>
            </w:r>
            <w:r>
              <w:rPr>
                <w:color w:val="222B33"/>
                <w:sz w:val="18"/>
              </w:rPr>
              <w:t>No generic "customer experience" content indistinguishable from Freshdesk/Zoho.</w:t>
            </w:r>
          </w:p>
        </w:tc>
        <w:tc>
          <w:tcPr>
            <w:tcW w:type="dxa" w:w="2353"/>
            <w:shd w:val="clear" w:color="auto" w:fill="EAF6F5"/>
          </w:tcPr>
          <w:p>
            <w:r>
              <w:rPr>
                <w:color w:val="222B33"/>
                <w:sz w:val="18"/>
              </w:rPr>
            </w:r>
            <w:r>
              <w:rPr>
                <w:color w:val="222B33"/>
                <w:sz w:val="18"/>
              </w:rPr>
              <w:t>₹800-2,000/lead once mature (3-6 month ramp) — reported as a supporting signal, not a standalone channel KPI</w:t>
            </w:r>
          </w:p>
        </w:tc>
      </w:tr>
    </w:tbl>
    <w:p/>
    <w:p>
      <w:pPr>
        <w:pStyle w:val="Heading3"/>
        <w:keepNext/>
        <w:spacing w:before="200" w:after="80"/>
      </w:pPr>
      <w:r>
        <w:rPr>
          <w:rFonts w:ascii="Calibri" w:hAnsi="Calibri"/>
          <w:b/>
          <w:color w:val="1B3A52"/>
          <w:sz w:val="25"/>
        </w:rPr>
        <w:t>SME/E-commerce (Tertiary/Opportunistic — deliberately low-investment per IMS)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0D1B2A"/>
          </w:tcPr>
          <w:p>
            <w:r>
              <w:rPr>
                <w:b/>
                <w:color w:val="FFFFFF"/>
                <w:sz w:val="19"/>
              </w:rPr>
            </w:r>
            <w:r>
              <w:rPr>
                <w:b/>
                <w:color w:val="FFFFFF"/>
                <w:sz w:val="19"/>
              </w:rPr>
              <w:t>Channel</w:t>
            </w:r>
          </w:p>
        </w:tc>
        <w:tc>
          <w:tcPr>
            <w:tcW w:type="dxa" w:w="2353"/>
            <w:shd w:val="clear" w:color="auto" w:fill="0D1B2A"/>
          </w:tcPr>
          <w:p>
            <w:r>
              <w:rPr>
                <w:b/>
                <w:color w:val="FFFFFF"/>
                <w:sz w:val="19"/>
              </w:rPr>
            </w:r>
            <w:r>
              <w:rPr>
                <w:b/>
                <w:color w:val="FFFFFF"/>
                <w:sz w:val="19"/>
              </w:rPr>
              <w:t>Why it works</w:t>
            </w:r>
          </w:p>
        </w:tc>
        <w:tc>
          <w:tcPr>
            <w:tcW w:type="dxa" w:w="2353"/>
            <w:shd w:val="clear" w:color="auto" w:fill="0D1B2A"/>
          </w:tcPr>
          <w:p>
            <w:r>
              <w:rPr>
                <w:b/>
                <w:color w:val="FFFFFF"/>
                <w:sz w:val="19"/>
              </w:rPr>
            </w:r>
            <w:r>
              <w:rPr>
                <w:b/>
                <w:color w:val="FFFFFF"/>
                <w:sz w:val="19"/>
              </w:rPr>
              <w:t>What NOT to do</w:t>
            </w:r>
          </w:p>
        </w:tc>
        <w:tc>
          <w:tcPr>
            <w:tcW w:type="dxa" w:w="2353"/>
            <w:shd w:val="clear" w:color="auto" w:fill="0D1B2A"/>
          </w:tcPr>
          <w:p>
            <w:r>
              <w:rPr>
                <w:b/>
                <w:color w:val="FFFFFF"/>
                <w:sz w:val="19"/>
              </w:rPr>
            </w:r>
            <w:r>
              <w:rPr>
                <w:b/>
                <w:color w:val="FFFFFF"/>
                <w:sz w:val="19"/>
              </w:rPr>
              <w:t>Est. cost</w:t>
            </w:r>
          </w:p>
        </w:tc>
      </w:tr>
      <w:tr>
        <w:tc>
          <w:tcPr>
            <w:tcW w:type="dxa" w:w="2353"/>
          </w:tcPr>
          <w:p>
            <w:r>
              <w:rPr>
                <w:color w:val="222B33"/>
                <w:sz w:val="18"/>
              </w:rPr>
            </w:r>
            <w:r>
              <w:rPr>
                <w:color w:val="222B33"/>
                <w:sz w:val="18"/>
              </w:rPr>
              <w:t>Product Hunt/G2/Capterra</w:t>
            </w:r>
          </w:p>
        </w:tc>
        <w:tc>
          <w:tcPr>
            <w:tcW w:type="dxa" w:w="2353"/>
          </w:tcPr>
          <w:p>
            <w:r>
              <w:rPr>
                <w:color w:val="222B33"/>
                <w:sz w:val="18"/>
              </w:rPr>
            </w:r>
            <w:r>
              <w:rPr>
                <w:color w:val="222B33"/>
                <w:sz w:val="18"/>
              </w:rPr>
              <w:t>Low/no-cost self-serve discovery listings.</w:t>
            </w:r>
          </w:p>
        </w:tc>
        <w:tc>
          <w:tcPr>
            <w:tcW w:type="dxa" w:w="2353"/>
          </w:tcPr>
          <w:p>
            <w:r>
              <w:rPr>
                <w:color w:val="222B33"/>
                <w:sz w:val="18"/>
              </w:rPr>
            </w:r>
            <w:r>
              <w:rPr>
                <w:color w:val="222B33"/>
                <w:sz w:val="18"/>
              </w:rPr>
              <w:t>Don't buy G2 paid visibility packages (₹3-8L/yr) — spend belongs in govt/BFSI per IMS's segment ranking.</w:t>
            </w:r>
          </w:p>
        </w:tc>
        <w:tc>
          <w:tcPr>
            <w:tcW w:type="dxa" w:w="2353"/>
          </w:tcPr>
          <w:p>
            <w:r>
              <w:rPr>
                <w:color w:val="222B33"/>
                <w:sz w:val="18"/>
              </w:rPr>
            </w:r>
            <w:r>
              <w:rPr>
                <w:color w:val="222B33"/>
                <w:sz w:val="18"/>
              </w:rPr>
              <w:t>Near-zero cash</w:t>
            </w:r>
          </w:p>
        </w:tc>
      </w:tr>
      <w:tr>
        <w:tc>
          <w:tcPr>
            <w:tcW w:type="dxa" w:w="2353"/>
            <w:shd w:val="clear" w:color="auto" w:fill="EAF6F5"/>
          </w:tcPr>
          <w:p>
            <w:r>
              <w:rPr>
                <w:color w:val="222B33"/>
                <w:sz w:val="18"/>
              </w:rPr>
            </w:r>
            <w:r>
              <w:rPr>
                <w:color w:val="222B33"/>
                <w:sz w:val="18"/>
              </w:rPr>
              <w:t>YouTube demo videos</w:t>
            </w:r>
          </w:p>
        </w:tc>
        <w:tc>
          <w:tcPr>
            <w:tcW w:type="dxa" w:w="2353"/>
            <w:shd w:val="clear" w:color="auto" w:fill="EAF6F5"/>
          </w:tcPr>
          <w:p>
            <w:r>
              <w:rPr>
                <w:color w:val="222B33"/>
                <w:sz w:val="18"/>
              </w:rPr>
            </w:r>
            <w:r>
              <w:rPr>
                <w:color w:val="222B33"/>
                <w:sz w:val="18"/>
              </w:rPr>
              <w:t>Cheap, evergreen, reusable across ALL segments as sales collateral, not SME-exclusive value.</w:t>
            </w:r>
          </w:p>
        </w:tc>
        <w:tc>
          <w:tcPr>
            <w:tcW w:type="dxa" w:w="2353"/>
            <w:shd w:val="clear" w:color="auto" w:fill="EAF6F5"/>
          </w:tcPr>
          <w:p>
            <w:r>
              <w:rPr>
                <w:color w:val="222B33"/>
                <w:sz w:val="18"/>
              </w:rPr>
            </w:r>
            <w:r>
              <w:rPr>
                <w:color w:val="222B33"/>
                <w:sz w:val="18"/>
              </w:rPr>
              <w:t>Don't build SME-specific paid ad campaigns around these.</w:t>
            </w:r>
          </w:p>
        </w:tc>
        <w:tc>
          <w:tcPr>
            <w:tcW w:type="dxa" w:w="2353"/>
            <w:shd w:val="clear" w:color="auto" w:fill="EAF6F5"/>
          </w:tcPr>
          <w:p>
            <w:r>
              <w:rPr>
                <w:color w:val="222B33"/>
                <w:sz w:val="18"/>
              </w:rPr>
            </w:r>
            <w:r>
              <w:rPr>
                <w:color w:val="222B33"/>
                <w:sz w:val="18"/>
              </w:rPr>
              <w:t>~₹30,000-80,000/video production only</w:t>
            </w:r>
          </w:p>
        </w:tc>
      </w:tr>
      <w:tr>
        <w:tc>
          <w:tcPr>
            <w:tcW w:type="dxa" w:w="2353"/>
          </w:tcPr>
          <w:p>
            <w:r>
              <w:rPr>
                <w:color w:val="222B33"/>
                <w:sz w:val="18"/>
              </w:rPr>
            </w:r>
            <w:r>
              <w:rPr>
                <w:color w:val="222B33"/>
                <w:sz w:val="18"/>
              </w:rPr>
              <w:t>WhatsApp groups/communities (D2C ops)</w:t>
            </w:r>
          </w:p>
        </w:tc>
        <w:tc>
          <w:tcPr>
            <w:tcW w:type="dxa" w:w="2353"/>
          </w:tcPr>
          <w:p>
            <w:r>
              <w:rPr>
                <w:color w:val="222B33"/>
                <w:sz w:val="18"/>
              </w:rPr>
            </w:r>
            <w:r>
              <w:rPr>
                <w:color w:val="222B33"/>
                <w:sz w:val="18"/>
              </w:rPr>
              <w:t>Zero-cash-cost access to SME ops managers.</w:t>
            </w:r>
          </w:p>
        </w:tc>
        <w:tc>
          <w:tcPr>
            <w:tcW w:type="dxa" w:w="2353"/>
          </w:tcPr>
          <w:p>
            <w:r>
              <w:rPr>
                <w:color w:val="222B33"/>
                <w:sz w:val="18"/>
              </w:rPr>
            </w:r>
            <w:r>
              <w:rPr>
                <w:color w:val="222B33"/>
                <w:sz w:val="18"/>
              </w:rPr>
              <w:t>Don't staff as a resourced Y1 channel — matches "opportunistic," not core.</w:t>
            </w:r>
          </w:p>
        </w:tc>
        <w:tc>
          <w:tcPr>
            <w:tcW w:type="dxa" w:w="2353"/>
          </w:tcPr>
          <w:p>
            <w:r>
              <w:rPr>
                <w:color w:val="222B33"/>
                <w:sz w:val="18"/>
              </w:rPr>
            </w:r>
            <w:r>
              <w:rPr>
                <w:color w:val="222B33"/>
                <w:sz w:val="18"/>
              </w:rPr>
              <w:t>~₹0 cash</w:t>
            </w:r>
          </w:p>
        </w:tc>
      </w:tr>
      <w:tr>
        <w:tc>
          <w:tcPr>
            <w:tcW w:type="dxa" w:w="2353"/>
            <w:shd w:val="clear" w:color="auto" w:fill="EAF6F5"/>
          </w:tcPr>
          <w:p>
            <w:r>
              <w:rPr>
                <w:color w:val="222B33"/>
                <w:sz w:val="18"/>
              </w:rPr>
            </w:r>
            <w:r>
              <w:rPr>
                <w:color w:val="222B33"/>
                <w:sz w:val="18"/>
              </w:rPr>
              <w:t>Startup press (YourStory, Inc42)</w:t>
            </w:r>
          </w:p>
        </w:tc>
        <w:tc>
          <w:tcPr>
            <w:tcW w:type="dxa" w:w="2353"/>
            <w:shd w:val="clear" w:color="auto" w:fill="EAF6F5"/>
          </w:tcPr>
          <w:p>
            <w:r>
              <w:rPr>
                <w:color w:val="222B33"/>
                <w:sz w:val="18"/>
              </w:rPr>
            </w:r>
            <w:r>
              <w:rPr>
                <w:color w:val="222B33"/>
                <w:sz w:val="18"/>
              </w:rPr>
              <w:t>Useful for funding/launch narrative and SEO backlink value.</w:t>
            </w:r>
          </w:p>
        </w:tc>
        <w:tc>
          <w:tcPr>
            <w:tcW w:type="dxa" w:w="2353"/>
            <w:shd w:val="clear" w:color="auto" w:fill="EAF6F5"/>
          </w:tcPr>
          <w:p>
            <w:r>
              <w:rPr>
                <w:color w:val="222B33"/>
                <w:sz w:val="18"/>
              </w:rPr>
            </w:r>
            <w:r>
              <w:rPr>
                <w:color w:val="222B33"/>
                <w:sz w:val="18"/>
              </w:rPr>
              <w:t>Don't retain a PR agency — 1-2 milestone-triggered pushes only, with TNEB-framing checked before any pitch.</w:t>
            </w:r>
          </w:p>
        </w:tc>
        <w:tc>
          <w:tcPr>
            <w:tcW w:type="dxa" w:w="2353"/>
            <w:shd w:val="clear" w:color="auto" w:fill="EAF6F5"/>
          </w:tcPr>
          <w:p>
            <w:r>
              <w:rPr>
                <w:color w:val="222B33"/>
                <w:sz w:val="18"/>
              </w:rPr>
            </w:r>
            <w:r>
              <w:rPr>
                <w:color w:val="222B33"/>
                <w:sz w:val="18"/>
              </w:rPr>
              <w:t>One-off pitching cost only</w:t>
            </w:r>
          </w:p>
        </w:tc>
      </w:tr>
    </w:tbl>
    <w:p/>
    <w:p>
      <w:r>
        <w:rPr>
          <w:b/>
          <w:color w:val="222B33"/>
          <w:sz w:val="21"/>
        </w:rPr>
        <w:t>Healthcare:</w:t>
      </w:r>
      <w:r>
        <w:rPr>
          <w:color w:val="222B33"/>
          <w:sz w:val="21"/>
        </w:rPr>
        <w:t xml:space="preserve"> Per IMS phasing, this segment activates at national scale (Phase 3, Months 19-36). </w:t>
      </w:r>
      <w:r>
        <w:rPr>
          <w:b/>
          <w:color w:val="222B33"/>
          <w:sz w:val="21"/>
        </w:rPr>
        <w:t>Adjudicated (see Process Notes):</w:t>
      </w:r>
      <w:r>
        <w:rPr>
          <w:color w:val="222B33"/>
          <w:sz w:val="21"/>
        </w:rPr>
        <w:t xml:space="preserve"> zero paid/event spend of any kind in Y1; a maximum of 1-2 bounded, non-CTA content pieces (SEO-only, no gated asset, no paid promotion) may run in late Y1/early Y2 as deliberate "Phase 3 lead-time SEO" — never in Q1, and never framed as active go-to-market.</w:t>
      </w:r>
    </w:p>
    <w:p>
      <w:r>
        <w:rPr>
          <w:b/>
          <w:color w:val="222B33"/>
          <w:sz w:val="21"/>
        </w:rPr>
        <w:t>Telecom:</w:t>
      </w:r>
      <w:r>
        <w:rPr>
          <w:color w:val="222B33"/>
          <w:sz w:val="21"/>
        </w:rPr>
        <w:t xml:space="preserve"> Deprioritised per IMS — zero Y1 channel investment.</w:t>
      </w:r>
    </w:p>
    <w:p>
      <w:pPr>
        <w:spacing w:before="320" w:after="160"/>
        <w:pStyle w:val="Heading2"/>
        <w:keepNext/>
        <w:pBdr>
          <w:bottom w:val="single" w:sz="6" w:space="4" w:color="B7E4E0"/>
        </w:pBdr>
      </w:pPr>
      <w:r>
        <w:rPr>
          <w:rFonts w:ascii="Calibri" w:hAnsi="Calibri"/>
          <w:b/>
          <w:color w:val="028090"/>
          <w:sz w:val="30"/>
        </w:rPr>
        <w:t>2.2 Channel Budget Allocation (Y1: ₹25-35L)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shd w:val="clear" w:color="auto" w:fill="0D1B2A"/>
          </w:tcPr>
          <w:p>
            <w:r>
              <w:rPr>
                <w:b/>
                <w:color w:val="FFFFFF"/>
                <w:sz w:val="19"/>
              </w:rPr>
            </w:r>
            <w:r>
              <w:rPr>
                <w:b/>
                <w:color w:val="FFFFFF"/>
                <w:sz w:val="19"/>
              </w:rPr>
              <w:t>Channel</w:t>
            </w:r>
          </w:p>
        </w:tc>
        <w:tc>
          <w:tcPr>
            <w:tcW w:type="dxa" w:w="2353"/>
            <w:shd w:val="clear" w:color="auto" w:fill="0D1B2A"/>
          </w:tcPr>
          <w:p>
            <w:r>
              <w:rPr>
                <w:b/>
                <w:color w:val="FFFFFF"/>
                <w:sz w:val="19"/>
              </w:rPr>
            </w:r>
            <w:r>
              <w:rPr>
                <w:b/>
                <w:color w:val="FFFFFF"/>
                <w:sz w:val="19"/>
              </w:rPr>
              <w:t>%</w:t>
            </w:r>
          </w:p>
        </w:tc>
        <w:tc>
          <w:tcPr>
            <w:tcW w:type="dxa" w:w="2353"/>
            <w:shd w:val="clear" w:color="auto" w:fill="0D1B2A"/>
          </w:tcPr>
          <w:p>
            <w:r>
              <w:rPr>
                <w:b/>
                <w:color w:val="FFFFFF"/>
                <w:sz w:val="19"/>
              </w:rPr>
            </w:r>
            <w:r>
              <w:rPr>
                <w:b/>
                <w:color w:val="FFFFFF"/>
                <w:sz w:val="19"/>
              </w:rPr>
              <w:t>INR (range)</w:t>
            </w:r>
          </w:p>
        </w:tc>
        <w:tc>
          <w:tcPr>
            <w:tcW w:type="dxa" w:w="2353"/>
            <w:shd w:val="clear" w:color="auto" w:fill="0D1B2A"/>
          </w:tcPr>
          <w:p>
            <w:r>
              <w:rPr>
                <w:b/>
                <w:color w:val="FFFFFF"/>
                <w:sz w:val="19"/>
              </w:rPr>
            </w:r>
            <w:r>
              <w:rPr>
                <w:b/>
                <w:color w:val="FFFFFF"/>
                <w:sz w:val="19"/>
              </w:rPr>
              <w:t>Rationale</w:t>
            </w:r>
          </w:p>
        </w:tc>
      </w:tr>
      <w:tr>
        <w:tc>
          <w:tcPr>
            <w:tcW w:type="dxa" w:w="2353"/>
          </w:tcPr>
          <w:p>
            <w:r>
              <w:rPr>
                <w:color w:val="222B33"/>
                <w:sz w:val="18"/>
              </w:rPr>
            </w:r>
            <w:r>
              <w:rPr>
                <w:color w:val="222B33"/>
                <w:sz w:val="18"/>
              </w:rPr>
              <w:t>Events (association memberships + selective TN/South govt event attendance/speaking + 1-2 regional BFSI events)</w:t>
            </w:r>
          </w:p>
        </w:tc>
        <w:tc>
          <w:tcPr>
            <w:tcW w:type="dxa" w:w="2353"/>
          </w:tcPr>
          <w:p>
            <w:r>
              <w:rPr>
                <w:color w:val="222B33"/>
                <w:sz w:val="18"/>
              </w:rPr>
            </w:r>
            <w:r>
              <w:rPr>
                <w:color w:val="222B33"/>
                <w:sz w:val="18"/>
              </w:rPr>
              <w:t>30%</w:t>
            </w:r>
          </w:p>
        </w:tc>
        <w:tc>
          <w:tcPr>
            <w:tcW w:type="dxa" w:w="2353"/>
          </w:tcPr>
          <w:p>
            <w:r>
              <w:rPr>
                <w:color w:val="222B33"/>
                <w:sz w:val="18"/>
              </w:rPr>
            </w:r>
            <w:r>
              <w:rPr>
                <w:color w:val="222B33"/>
                <w:sz w:val="18"/>
              </w:rPr>
              <w:t>₹7.5L-10.5L</w:t>
            </w:r>
          </w:p>
        </w:tc>
        <w:tc>
          <w:tcPr>
            <w:tcW w:type="dxa" w:w="2353"/>
          </w:tcPr>
          <w:p>
            <w:r>
              <w:rPr>
                <w:color w:val="222B33"/>
                <w:sz w:val="18"/>
              </w:rPr>
            </w:r>
            <w:r>
              <w:rPr>
                <w:color w:val="222B33"/>
                <w:sz w:val="18"/>
              </w:rPr>
              <w:t>Highest-priority spend — where the actual beachhead and second-engine buyers surface, and where the IIT Pravartak/innovation-sandbox unlock gets activated</w:t>
            </w:r>
          </w:p>
        </w:tc>
      </w:tr>
      <w:tr>
        <w:tc>
          <w:tcPr>
            <w:tcW w:type="dxa" w:w="2353"/>
            <w:shd w:val="clear" w:color="auto" w:fill="EAF6F5"/>
          </w:tcPr>
          <w:p>
            <w:r>
              <w:rPr>
                <w:color w:val="222B33"/>
                <w:sz w:val="18"/>
              </w:rPr>
            </w:r>
            <w:r>
              <w:rPr>
                <w:color w:val="222B33"/>
                <w:sz w:val="18"/>
              </w:rPr>
              <w:t>Content production (compliance whitepapers, benchmark survey, case-study-substitute assets, 2-3 demo videos)</w:t>
            </w:r>
          </w:p>
        </w:tc>
        <w:tc>
          <w:tcPr>
            <w:tcW w:type="dxa" w:w="2353"/>
            <w:shd w:val="clear" w:color="auto" w:fill="EAF6F5"/>
          </w:tcPr>
          <w:p>
            <w:r>
              <w:rPr>
                <w:color w:val="222B33"/>
                <w:sz w:val="18"/>
              </w:rPr>
            </w:r>
            <w:r>
              <w:rPr>
                <w:color w:val="222B33"/>
                <w:sz w:val="18"/>
              </w:rPr>
              <w:t>25%</w:t>
            </w:r>
          </w:p>
        </w:tc>
        <w:tc>
          <w:tcPr>
            <w:tcW w:type="dxa" w:w="2353"/>
            <w:shd w:val="clear" w:color="auto" w:fill="EAF6F5"/>
          </w:tcPr>
          <w:p>
            <w:r>
              <w:rPr>
                <w:color w:val="222B33"/>
                <w:sz w:val="18"/>
              </w:rPr>
            </w:r>
            <w:r>
              <w:rPr>
                <w:color w:val="222B33"/>
                <w:sz w:val="18"/>
              </w:rPr>
              <w:t>₹6.25L-8.75L</w:t>
            </w:r>
          </w:p>
        </w:tc>
        <w:tc>
          <w:tcPr>
            <w:tcW w:type="dxa" w:w="2353"/>
            <w:shd w:val="clear" w:color="auto" w:fill="EAF6F5"/>
          </w:tcPr>
          <w:p>
            <w:r>
              <w:rPr>
                <w:color w:val="222B33"/>
                <w:sz w:val="18"/>
              </w:rPr>
            </w:r>
            <w:r>
              <w:rPr>
                <w:color w:val="222B33"/>
                <w:sz w:val="18"/>
              </w:rPr>
              <w:t>Core wedge for BFSI and the credibility asset for govt; feeds SEO and sales-enablement reuse. Includes the compliance content that also supports Lead Engine 3 (no incremental spend beyond this line for that purpose)</w:t>
            </w:r>
          </w:p>
        </w:tc>
      </w:tr>
      <w:tr>
        <w:tc>
          <w:tcPr>
            <w:tcW w:type="dxa" w:w="2353"/>
          </w:tcPr>
          <w:p>
            <w:r>
              <w:rPr>
                <w:color w:val="222B33"/>
                <w:sz w:val="18"/>
              </w:rPr>
            </w:r>
            <w:r>
              <w:rPr>
                <w:color w:val="222B33"/>
                <w:sz w:val="18"/>
              </w:rPr>
              <w:t>LinkedIn (BFSI-targeted paid + limited govt-staff awareness content)</w:t>
            </w:r>
          </w:p>
        </w:tc>
        <w:tc>
          <w:tcPr>
            <w:tcW w:type="dxa" w:w="2353"/>
          </w:tcPr>
          <w:p>
            <w:r>
              <w:rPr>
                <w:color w:val="222B33"/>
                <w:sz w:val="18"/>
              </w:rPr>
            </w:r>
            <w:r>
              <w:rPr>
                <w:color w:val="222B33"/>
                <w:sz w:val="18"/>
              </w:rPr>
              <w:t>15%</w:t>
            </w:r>
          </w:p>
        </w:tc>
        <w:tc>
          <w:tcPr>
            <w:tcW w:type="dxa" w:w="2353"/>
          </w:tcPr>
          <w:p>
            <w:r>
              <w:rPr>
                <w:color w:val="222B33"/>
                <w:sz w:val="18"/>
              </w:rPr>
            </w:r>
            <w:r>
              <w:rPr>
                <w:color w:val="222B33"/>
                <w:sz w:val="18"/>
              </w:rPr>
              <w:t>₹3.75L-5.25L</w:t>
            </w:r>
          </w:p>
        </w:tc>
        <w:tc>
          <w:tcPr>
            <w:tcW w:type="dxa" w:w="2353"/>
          </w:tcPr>
          <w:p>
            <w:r>
              <w:rPr>
                <w:color w:val="222B33"/>
                <w:sz w:val="18"/>
              </w:rPr>
            </w:r>
            <w:r>
              <w:rPr>
                <w:color w:val="222B33"/>
                <w:sz w:val="18"/>
              </w:rPr>
              <w:t>BFSI persona is LinkedIn-responsive; govt spend here is brand-awareness only, kept modest</w:t>
            </w:r>
          </w:p>
        </w:tc>
      </w:tr>
      <w:tr>
        <w:tc>
          <w:tcPr>
            <w:tcW w:type="dxa" w:w="2353"/>
            <w:shd w:val="clear" w:color="auto" w:fill="EAF6F5"/>
          </w:tcPr>
          <w:p>
            <w:r>
              <w:rPr>
                <w:color w:val="222B33"/>
                <w:sz w:val="18"/>
              </w:rPr>
            </w:r>
            <w:r>
              <w:rPr>
                <w:color w:val="222B33"/>
                <w:sz w:val="18"/>
              </w:rPr>
              <w:t>SEO/website (compliance-content SEO, landing pages, technical SEO, .in domain)</w:t>
            </w:r>
          </w:p>
        </w:tc>
        <w:tc>
          <w:tcPr>
            <w:tcW w:type="dxa" w:w="2353"/>
            <w:shd w:val="clear" w:color="auto" w:fill="EAF6F5"/>
          </w:tcPr>
          <w:p>
            <w:r>
              <w:rPr>
                <w:color w:val="222B33"/>
                <w:sz w:val="18"/>
              </w:rPr>
            </w:r>
            <w:r>
              <w:rPr>
                <w:color w:val="222B33"/>
                <w:sz w:val="18"/>
              </w:rPr>
              <w:t>10%</w:t>
            </w:r>
          </w:p>
        </w:tc>
        <w:tc>
          <w:tcPr>
            <w:tcW w:type="dxa" w:w="2353"/>
            <w:shd w:val="clear" w:color="auto" w:fill="EAF6F5"/>
          </w:tcPr>
          <w:p>
            <w:r>
              <w:rPr>
                <w:color w:val="222B33"/>
                <w:sz w:val="18"/>
              </w:rPr>
            </w:r>
            <w:r>
              <w:rPr>
                <w:color w:val="222B33"/>
                <w:sz w:val="18"/>
              </w:rPr>
              <w:t>₹2.5L-3.5L</w:t>
            </w:r>
          </w:p>
        </w:tc>
        <w:tc>
          <w:tcPr>
            <w:tcW w:type="dxa" w:w="2353"/>
            <w:shd w:val="clear" w:color="auto" w:fill="EAF6F5"/>
          </w:tcPr>
          <w:p>
            <w:r>
              <w:rPr>
                <w:color w:val="222B33"/>
                <w:sz w:val="18"/>
              </w:rPr>
            </w:r>
            <w:r>
              <w:rPr>
                <w:color w:val="222B33"/>
                <w:sz w:val="18"/>
              </w:rPr>
              <w:t>Low-cost compounding asset supporting BFSI inbound and long-cycle govt research-phase discovery</w:t>
            </w:r>
          </w:p>
        </w:tc>
      </w:tr>
      <w:tr>
        <w:tc>
          <w:tcPr>
            <w:tcW w:type="dxa" w:w="2353"/>
          </w:tcPr>
          <w:p>
            <w:r>
              <w:rPr>
                <w:color w:val="222B33"/>
                <w:sz w:val="18"/>
              </w:rPr>
            </w:r>
            <w:r>
              <w:rPr>
                <w:color w:val="222B33"/>
                <w:sz w:val="18"/>
              </w:rPr>
              <w:t>Email tooling (nurture sequencing, CRM-lite, deliverability)</w:t>
            </w:r>
          </w:p>
        </w:tc>
        <w:tc>
          <w:tcPr>
            <w:tcW w:type="dxa" w:w="2353"/>
          </w:tcPr>
          <w:p>
            <w:r>
              <w:rPr>
                <w:color w:val="222B33"/>
                <w:sz w:val="18"/>
              </w:rPr>
            </w:r>
            <w:r>
              <w:rPr>
                <w:color w:val="222B33"/>
                <w:sz w:val="18"/>
              </w:rPr>
              <w:t>5%</w:t>
            </w:r>
          </w:p>
        </w:tc>
        <w:tc>
          <w:tcPr>
            <w:tcW w:type="dxa" w:w="2353"/>
          </w:tcPr>
          <w:p>
            <w:r>
              <w:rPr>
                <w:color w:val="222B33"/>
                <w:sz w:val="18"/>
              </w:rPr>
            </w:r>
            <w:r>
              <w:rPr>
                <w:color w:val="222B33"/>
                <w:sz w:val="18"/>
              </w:rPr>
              <w:t>₹1.25L-1.75L</w:t>
            </w:r>
          </w:p>
        </w:tc>
        <w:tc>
          <w:tcPr>
            <w:tcW w:type="dxa" w:w="2353"/>
          </w:tcPr>
          <w:p>
            <w:r>
              <w:rPr>
                <w:color w:val="222B33"/>
                <w:sz w:val="18"/>
              </w:rPr>
            </w:r>
            <w:r>
              <w:rPr>
                <w:color w:val="222B33"/>
                <w:sz w:val="18"/>
              </w:rPr>
              <w:t>Needed to run warm-intro follow-up and BFSI nurture properly without mass-blast risk</w:t>
            </w:r>
          </w:p>
        </w:tc>
      </w:tr>
      <w:tr>
        <w:tc>
          <w:tcPr>
            <w:tcW w:type="dxa" w:w="2353"/>
            <w:shd w:val="clear" w:color="auto" w:fill="EAF6F5"/>
          </w:tcPr>
          <w:p>
            <w:r>
              <w:rPr>
                <w:color w:val="222B33"/>
                <w:sz w:val="18"/>
              </w:rPr>
            </w:r>
            <w:r>
              <w:rPr>
                <w:color w:val="222B33"/>
                <w:sz w:val="18"/>
              </w:rPr>
              <w:t>Reserve/test (SME opportunistic push, GovTech-challenge application costs, contingency)</w:t>
            </w:r>
          </w:p>
        </w:tc>
        <w:tc>
          <w:tcPr>
            <w:tcW w:type="dxa" w:w="2353"/>
            <w:shd w:val="clear" w:color="auto" w:fill="EAF6F5"/>
          </w:tcPr>
          <w:p>
            <w:r>
              <w:rPr>
                <w:color w:val="222B33"/>
                <w:sz w:val="18"/>
              </w:rPr>
            </w:r>
            <w:r>
              <w:rPr>
                <w:color w:val="222B33"/>
                <w:sz w:val="18"/>
              </w:rPr>
              <w:t>15%</w:t>
            </w:r>
          </w:p>
        </w:tc>
        <w:tc>
          <w:tcPr>
            <w:tcW w:type="dxa" w:w="2353"/>
            <w:shd w:val="clear" w:color="auto" w:fill="EAF6F5"/>
          </w:tcPr>
          <w:p>
            <w:r>
              <w:rPr>
                <w:color w:val="222B33"/>
                <w:sz w:val="18"/>
              </w:rPr>
            </w:r>
            <w:r>
              <w:rPr>
                <w:color w:val="222B33"/>
                <w:sz w:val="18"/>
              </w:rPr>
              <w:t>₹3.75L-5.25L</w:t>
            </w:r>
          </w:p>
        </w:tc>
        <w:tc>
          <w:tcPr>
            <w:tcW w:type="dxa" w:w="2353"/>
            <w:shd w:val="clear" w:color="auto" w:fill="EAF6F5"/>
          </w:tcPr>
          <w:p>
            <w:r>
              <w:rPr>
                <w:color w:val="222B33"/>
                <w:sz w:val="18"/>
              </w:rPr>
            </w:r>
            <w:r>
              <w:rPr>
                <w:b/>
                <w:color w:val="222B33"/>
                <w:sz w:val="18"/>
              </w:rPr>
              <w:t>Adjudicated unlock rule (see Process Notes): Reserve deploys only against a channel that has already cleared its own Month-6 KPI threshold, to double down on proven motion — it is not a slush fund for testing new, unproven channels mid-year.</w:t>
            </w:r>
          </w:p>
        </w:tc>
      </w:tr>
    </w:tbl>
    <w:p/>
    <w:p>
      <w:pPr>
        <w:spacing w:before="320" w:after="160"/>
        <w:pStyle w:val="Heading2"/>
        <w:keepNext/>
        <w:pBdr>
          <w:bottom w:val="single" w:sz="6" w:space="4" w:color="B7E4E0"/>
        </w:pBdr>
      </w:pPr>
      <w:r>
        <w:rPr>
          <w:rFonts w:ascii="Calibri" w:hAnsi="Calibri"/>
          <w:b/>
          <w:color w:val="028090"/>
          <w:sz w:val="30"/>
        </w:rPr>
        <w:t>2.3 KPIs per Channel</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0D1B2A"/>
          </w:tcPr>
          <w:p>
            <w:r>
              <w:rPr>
                <w:b/>
                <w:color w:val="FFFFFF"/>
                <w:sz w:val="19"/>
              </w:rPr>
            </w:r>
            <w:r>
              <w:rPr>
                <w:b/>
                <w:color w:val="FFFFFF"/>
                <w:sz w:val="19"/>
              </w:rPr>
              <w:t>Channel</w:t>
            </w:r>
          </w:p>
        </w:tc>
        <w:tc>
          <w:tcPr>
            <w:tcW w:type="dxa" w:w="1882"/>
            <w:shd w:val="clear" w:color="auto" w:fill="0D1B2A"/>
          </w:tcPr>
          <w:p>
            <w:r>
              <w:rPr>
                <w:b/>
                <w:color w:val="FFFFFF"/>
                <w:sz w:val="19"/>
              </w:rPr>
            </w:r>
            <w:r>
              <w:rPr>
                <w:b/>
                <w:color w:val="FFFFFF"/>
                <w:sz w:val="19"/>
              </w:rPr>
              <w:t>Primary KPI</w:t>
            </w:r>
          </w:p>
        </w:tc>
        <w:tc>
          <w:tcPr>
            <w:tcW w:type="dxa" w:w="1882"/>
            <w:shd w:val="clear" w:color="auto" w:fill="0D1B2A"/>
          </w:tcPr>
          <w:p>
            <w:r>
              <w:rPr>
                <w:b/>
                <w:color w:val="FFFFFF"/>
                <w:sz w:val="19"/>
              </w:rPr>
            </w:r>
            <w:r>
              <w:rPr>
                <w:b/>
                <w:color w:val="FFFFFF"/>
                <w:sz w:val="19"/>
              </w:rPr>
              <w:t>Secondary KPI</w:t>
            </w:r>
          </w:p>
        </w:tc>
        <w:tc>
          <w:tcPr>
            <w:tcW w:type="dxa" w:w="1882"/>
            <w:shd w:val="clear" w:color="auto" w:fill="0D1B2A"/>
          </w:tcPr>
          <w:p>
            <w:r>
              <w:rPr>
                <w:b/>
                <w:color w:val="FFFFFF"/>
                <w:sz w:val="19"/>
              </w:rPr>
            </w:r>
            <w:r>
              <w:rPr>
                <w:b/>
                <w:color w:val="FFFFFF"/>
                <w:sz w:val="19"/>
              </w:rPr>
              <w:t>Minimum threshold (kill signal)</w:t>
            </w:r>
          </w:p>
        </w:tc>
        <w:tc>
          <w:tcPr>
            <w:tcW w:type="dxa" w:w="1882"/>
            <w:shd w:val="clear" w:color="auto" w:fill="0D1B2A"/>
          </w:tcPr>
          <w:p>
            <w:r>
              <w:rPr>
                <w:b/>
                <w:color w:val="FFFFFF"/>
                <w:sz w:val="19"/>
              </w:rPr>
            </w:r>
            <w:r>
              <w:rPr>
                <w:b/>
                <w:color w:val="FFFFFF"/>
                <w:sz w:val="19"/>
              </w:rPr>
              <w:t>Cadence</w:t>
            </w:r>
          </w:p>
        </w:tc>
      </w:tr>
      <w:tr>
        <w:tc>
          <w:tcPr>
            <w:tcW w:type="dxa" w:w="1882"/>
          </w:tcPr>
          <w:p>
            <w:r>
              <w:rPr>
                <w:color w:val="222B33"/>
                <w:sz w:val="18"/>
              </w:rPr>
            </w:r>
            <w:r>
              <w:rPr>
                <w:color w:val="222B33"/>
                <w:sz w:val="18"/>
              </w:rPr>
              <w:t>Govt events/associations</w:t>
            </w:r>
          </w:p>
        </w:tc>
        <w:tc>
          <w:tcPr>
            <w:tcW w:type="dxa" w:w="1882"/>
          </w:tcPr>
          <w:p>
            <w:r>
              <w:rPr>
                <w:color w:val="222B33"/>
                <w:sz w:val="18"/>
              </w:rPr>
            </w:r>
            <w:r>
              <w:rPr>
                <w:color w:val="222B33"/>
                <w:sz w:val="18"/>
              </w:rPr>
              <w:t># qualified meetings with budget-holder/IT-dept sponsor</w:t>
            </w:r>
          </w:p>
        </w:tc>
        <w:tc>
          <w:tcPr>
            <w:tcW w:type="dxa" w:w="1882"/>
          </w:tcPr>
          <w:p>
            <w:r>
              <w:rPr>
                <w:color w:val="222B33"/>
                <w:sz w:val="18"/>
              </w:rPr>
            </w:r>
            <w:r>
              <w:rPr>
                <w:color w:val="222B33"/>
                <w:sz w:val="18"/>
              </w:rPr>
              <w:t>Cost per qualified meeting</w:t>
            </w:r>
          </w:p>
        </w:tc>
        <w:tc>
          <w:tcPr>
            <w:tcW w:type="dxa" w:w="1882"/>
          </w:tcPr>
          <w:p>
            <w:r>
              <w:rPr>
                <w:color w:val="222B33"/>
                <w:sz w:val="18"/>
              </w:rPr>
            </w:r>
            <w:r>
              <w:rPr>
                <w:color w:val="222B33"/>
                <w:sz w:val="18"/>
              </w:rPr>
              <w:t>&gt;₹50,000/meeting with zero pilot-stage progression after 2 events</w:t>
            </w:r>
          </w:p>
        </w:tc>
        <w:tc>
          <w:tcPr>
            <w:tcW w:type="dxa" w:w="1882"/>
          </w:tcPr>
          <w:p>
            <w:r>
              <w:rPr>
                <w:color w:val="222B33"/>
                <w:sz w:val="18"/>
              </w:rPr>
            </w:r>
            <w:r>
              <w:rPr>
                <w:color w:val="222B33"/>
                <w:sz w:val="18"/>
              </w:rPr>
              <w:t>Per-event + quarterly</w:t>
            </w:r>
          </w:p>
        </w:tc>
      </w:tr>
      <w:tr>
        <w:tc>
          <w:tcPr>
            <w:tcW w:type="dxa" w:w="1882"/>
            <w:shd w:val="clear" w:color="auto" w:fill="EAF6F5"/>
          </w:tcPr>
          <w:p>
            <w:r>
              <w:rPr>
                <w:color w:val="222B33"/>
                <w:sz w:val="18"/>
              </w:rPr>
            </w:r>
            <w:r>
              <w:rPr>
                <w:color w:val="222B33"/>
                <w:sz w:val="18"/>
              </w:rPr>
              <w:t>IIT/academic tie-up &amp; innovation challenges</w:t>
            </w:r>
          </w:p>
        </w:tc>
        <w:tc>
          <w:tcPr>
            <w:tcW w:type="dxa" w:w="1882"/>
            <w:shd w:val="clear" w:color="auto" w:fill="EAF6F5"/>
          </w:tcPr>
          <w:p>
            <w:r>
              <w:rPr>
                <w:color w:val="222B33"/>
                <w:sz w:val="18"/>
              </w:rPr>
            </w:r>
            <w:r>
              <w:rPr>
                <w:color w:val="222B33"/>
                <w:sz w:val="18"/>
              </w:rPr>
              <w:t># pilot conversations from applications</w:t>
            </w:r>
          </w:p>
        </w:tc>
        <w:tc>
          <w:tcPr>
            <w:tcW w:type="dxa" w:w="1882"/>
            <w:shd w:val="clear" w:color="auto" w:fill="EAF6F5"/>
          </w:tcPr>
          <w:p>
            <w:r>
              <w:rPr>
                <w:color w:val="222B33"/>
                <w:sz w:val="18"/>
              </w:rPr>
            </w:r>
            <w:r>
              <w:rPr>
                <w:color w:val="222B33"/>
                <w:sz w:val="18"/>
              </w:rPr>
              <w:t># warm intros to state e-gov depts</w:t>
            </w:r>
          </w:p>
        </w:tc>
        <w:tc>
          <w:tcPr>
            <w:tcW w:type="dxa" w:w="1882"/>
            <w:shd w:val="clear" w:color="auto" w:fill="EAF6F5"/>
          </w:tcPr>
          <w:p>
            <w:r>
              <w:rPr>
                <w:color w:val="222B33"/>
                <w:sz w:val="18"/>
              </w:rPr>
            </w:r>
            <w:r>
              <w:rPr>
                <w:color w:val="222B33"/>
                <w:sz w:val="18"/>
              </w:rPr>
              <w:t>Zero pilot conversations from 3+ applications by Month 6</w:t>
            </w:r>
          </w:p>
        </w:tc>
        <w:tc>
          <w:tcPr>
            <w:tcW w:type="dxa" w:w="1882"/>
            <w:shd w:val="clear" w:color="auto" w:fill="EAF6F5"/>
          </w:tcPr>
          <w:p>
            <w:r>
              <w:rPr>
                <w:color w:val="222B33"/>
                <w:sz w:val="18"/>
              </w:rPr>
            </w:r>
            <w:r>
              <w:rPr>
                <w:color w:val="222B33"/>
                <w:sz w:val="18"/>
              </w:rPr>
              <w:t>Monthly</w:t>
            </w:r>
          </w:p>
        </w:tc>
      </w:tr>
      <w:tr>
        <w:tc>
          <w:tcPr>
            <w:tcW w:type="dxa" w:w="1882"/>
          </w:tcPr>
          <w:p>
            <w:r>
              <w:rPr>
                <w:color w:val="222B33"/>
                <w:sz w:val="18"/>
              </w:rPr>
            </w:r>
            <w:r>
              <w:rPr>
                <w:color w:val="222B33"/>
                <w:sz w:val="18"/>
              </w:rPr>
              <w:t>LinkedIn — govt awareness</w:t>
            </w:r>
          </w:p>
        </w:tc>
        <w:tc>
          <w:tcPr>
            <w:tcW w:type="dxa" w:w="1882"/>
          </w:tcPr>
          <w:p>
            <w:r>
              <w:rPr>
                <w:color w:val="222B33"/>
                <w:sz w:val="18"/>
              </w:rPr>
            </w:r>
            <w:r>
              <w:rPr>
                <w:color w:val="222B33"/>
                <w:sz w:val="18"/>
              </w:rPr>
              <w:t>Engagement from IT-dept/consultant-tier profiles</w:t>
            </w:r>
          </w:p>
        </w:tc>
        <w:tc>
          <w:tcPr>
            <w:tcW w:type="dxa" w:w="1882"/>
          </w:tcPr>
          <w:p>
            <w:r>
              <w:rPr>
                <w:color w:val="222B33"/>
                <w:sz w:val="18"/>
              </w:rPr>
            </w:r>
            <w:r>
              <w:rPr>
                <w:color w:val="222B33"/>
                <w:sz w:val="18"/>
              </w:rPr>
              <w:t>Follower growth among target org employees</w:t>
            </w:r>
          </w:p>
        </w:tc>
        <w:tc>
          <w:tcPr>
            <w:tcW w:type="dxa" w:w="1882"/>
          </w:tcPr>
          <w:p>
            <w:r>
              <w:rPr>
                <w:color w:val="222B33"/>
                <w:sz w:val="18"/>
              </w:rPr>
            </w:r>
            <w:r>
              <w:rPr>
                <w:color w:val="222B33"/>
                <w:sz w:val="18"/>
              </w:rPr>
              <w:t>&lt;0.5% engagement sustained 2 quarters</w:t>
            </w:r>
          </w:p>
        </w:tc>
        <w:tc>
          <w:tcPr>
            <w:tcW w:type="dxa" w:w="1882"/>
          </w:tcPr>
          <w:p>
            <w:r>
              <w:rPr>
                <w:color w:val="222B33"/>
                <w:sz w:val="18"/>
              </w:rPr>
            </w:r>
            <w:r>
              <w:rPr>
                <w:color w:val="222B33"/>
                <w:sz w:val="18"/>
              </w:rPr>
              <w:t>Monthly</w:t>
            </w:r>
          </w:p>
        </w:tc>
      </w:tr>
      <w:tr>
        <w:tc>
          <w:tcPr>
            <w:tcW w:type="dxa" w:w="1882"/>
            <w:shd w:val="clear" w:color="auto" w:fill="EAF6F5"/>
          </w:tcPr>
          <w:p>
            <w:r>
              <w:rPr>
                <w:color w:val="222B33"/>
                <w:sz w:val="18"/>
              </w:rPr>
            </w:r>
            <w:r>
              <w:rPr>
                <w:color w:val="222B33"/>
                <w:sz w:val="18"/>
              </w:rPr>
              <w:t>LinkedIn — BFSI (paid + outbound, Engine 3)</w:t>
            </w:r>
          </w:p>
        </w:tc>
        <w:tc>
          <w:tcPr>
            <w:tcW w:type="dxa" w:w="1882"/>
            <w:shd w:val="clear" w:color="auto" w:fill="EAF6F5"/>
          </w:tcPr>
          <w:p>
            <w:r>
              <w:rPr>
                <w:color w:val="222B33"/>
                <w:sz w:val="18"/>
              </w:rPr>
            </w:r>
            <w:r>
              <w:rPr>
                <w:color w:val="222B33"/>
                <w:sz w:val="18"/>
              </w:rPr>
              <w:t>Cost per qualified lead (CX/Grievance Head titles only)</w:t>
            </w:r>
          </w:p>
        </w:tc>
        <w:tc>
          <w:tcPr>
            <w:tcW w:type="dxa" w:w="1882"/>
            <w:shd w:val="clear" w:color="auto" w:fill="EAF6F5"/>
          </w:tcPr>
          <w:p>
            <w:r>
              <w:rPr>
                <w:color w:val="222B33"/>
                <w:sz w:val="18"/>
              </w:rPr>
            </w:r>
            <w:r>
              <w:rPr>
                <w:color w:val="222B33"/>
                <w:sz w:val="18"/>
              </w:rPr>
              <w:t>Lead-to-first-meeting conversion</w:t>
            </w:r>
          </w:p>
        </w:tc>
        <w:tc>
          <w:tcPr>
            <w:tcW w:type="dxa" w:w="1882"/>
            <w:shd w:val="clear" w:color="auto" w:fill="EAF6F5"/>
          </w:tcPr>
          <w:p>
            <w:r>
              <w:rPr>
                <w:color w:val="222B33"/>
                <w:sz w:val="18"/>
              </w:rPr>
            </w:r>
            <w:r>
              <w:rPr>
                <w:color w:val="222B33"/>
                <w:sz w:val="18"/>
              </w:rPr>
              <w:t>CPL &gt;₹4,000 or &lt;10% lead-to-meeting after 90 days</w:t>
            </w:r>
          </w:p>
        </w:tc>
        <w:tc>
          <w:tcPr>
            <w:tcW w:type="dxa" w:w="1882"/>
            <w:shd w:val="clear" w:color="auto" w:fill="EAF6F5"/>
          </w:tcPr>
          <w:p>
            <w:r>
              <w:rPr>
                <w:color w:val="222B33"/>
                <w:sz w:val="18"/>
              </w:rPr>
            </w:r>
            <w:r>
              <w:rPr>
                <w:color w:val="222B33"/>
                <w:sz w:val="18"/>
              </w:rPr>
              <w:t>Monthly</w:t>
            </w:r>
          </w:p>
        </w:tc>
      </w:tr>
      <w:tr>
        <w:tc>
          <w:tcPr>
            <w:tcW w:type="dxa" w:w="1882"/>
          </w:tcPr>
          <w:p>
            <w:r>
              <w:rPr>
                <w:color w:val="222B33"/>
                <w:sz w:val="18"/>
              </w:rPr>
            </w:r>
            <w:r>
              <w:rPr>
                <w:color w:val="222B33"/>
                <w:sz w:val="18"/>
              </w:rPr>
              <w:t>Compliance content/SEO (subordinate line under LinkedIn-BFSI/Engine 3 — see 2.1 and Process Notes)</w:t>
            </w:r>
          </w:p>
        </w:tc>
        <w:tc>
          <w:tcPr>
            <w:tcW w:type="dxa" w:w="1882"/>
          </w:tcPr>
          <w:p>
            <w:r>
              <w:rPr>
                <w:color w:val="222B33"/>
                <w:sz w:val="18"/>
              </w:rPr>
            </w:r>
            <w:r>
              <w:rPr>
                <w:color w:val="222B33"/>
                <w:sz w:val="18"/>
              </w:rPr>
              <w:t>Organic sessions from compliance-intent keywords</w:t>
            </w:r>
          </w:p>
        </w:tc>
        <w:tc>
          <w:tcPr>
            <w:tcW w:type="dxa" w:w="1882"/>
          </w:tcPr>
          <w:p>
            <w:r>
              <w:rPr>
                <w:color w:val="222B33"/>
                <w:sz w:val="18"/>
              </w:rPr>
            </w:r>
            <w:r>
              <w:rPr>
                <w:color w:val="222B33"/>
                <w:sz w:val="18"/>
              </w:rPr>
              <w:t>Gated-download-to-lead conversion</w:t>
            </w:r>
          </w:p>
        </w:tc>
        <w:tc>
          <w:tcPr>
            <w:tcW w:type="dxa" w:w="1882"/>
          </w:tcPr>
          <w:p>
            <w:r>
              <w:rPr>
                <w:color w:val="222B33"/>
                <w:sz w:val="18"/>
              </w:rPr>
            </w:r>
            <w:r>
              <w:rPr>
                <w:color w:val="222B33"/>
                <w:sz w:val="18"/>
              </w:rPr>
              <w:t xml:space="preserve">&lt;20 qualified organic leads/quarter — </w:t>
            </w:r>
            <w:r>
              <w:rPr>
                <w:b/>
                <w:color w:val="222B33"/>
                <w:sz w:val="18"/>
              </w:rPr>
              <w:t>tracked from Month 6 onward only, and explicitly excluded from the Phase 1 Month-6 go/no-go evaluation</w:t>
            </w:r>
            <w:r>
              <w:rPr>
                <w:color w:val="222B33"/>
                <w:sz w:val="18"/>
              </w:rPr>
              <w:t>, since its own compounding timeline structurally cannot clear this bar inside the Phase 1 window</w:t>
            </w:r>
          </w:p>
        </w:tc>
        <w:tc>
          <w:tcPr>
            <w:tcW w:type="dxa" w:w="1882"/>
          </w:tcPr>
          <w:p>
            <w:r>
              <w:rPr>
                <w:color w:val="222B33"/>
                <w:sz w:val="18"/>
              </w:rPr>
            </w:r>
            <w:r>
              <w:rPr>
                <w:color w:val="222B33"/>
                <w:sz w:val="18"/>
              </w:rPr>
              <w:t>Monthly</w:t>
            </w:r>
          </w:p>
        </w:tc>
      </w:tr>
      <w:tr>
        <w:tc>
          <w:tcPr>
            <w:tcW w:type="dxa" w:w="1882"/>
            <w:shd w:val="clear" w:color="auto" w:fill="EAF6F5"/>
          </w:tcPr>
          <w:p>
            <w:r>
              <w:rPr>
                <w:color w:val="222B33"/>
                <w:sz w:val="18"/>
              </w:rPr>
            </w:r>
            <w:r>
              <w:rPr>
                <w:color w:val="222B33"/>
                <w:sz w:val="18"/>
              </w:rPr>
              <w:t>Email nurture (warm-intro follow-up only)</w:t>
            </w:r>
          </w:p>
        </w:tc>
        <w:tc>
          <w:tcPr>
            <w:tcW w:type="dxa" w:w="1882"/>
            <w:shd w:val="clear" w:color="auto" w:fill="EAF6F5"/>
          </w:tcPr>
          <w:p>
            <w:r>
              <w:rPr>
                <w:color w:val="222B33"/>
                <w:sz w:val="18"/>
              </w:rPr>
            </w:r>
            <w:r>
              <w:rPr>
                <w:color w:val="222B33"/>
                <w:sz w:val="18"/>
              </w:rPr>
              <w:t>Reply/engagement rate on warm-referred sends</w:t>
            </w:r>
          </w:p>
        </w:tc>
        <w:tc>
          <w:tcPr>
            <w:tcW w:type="dxa" w:w="1882"/>
            <w:shd w:val="clear" w:color="auto" w:fill="EAF6F5"/>
          </w:tcPr>
          <w:p>
            <w:r>
              <w:rPr>
                <w:color w:val="222B33"/>
                <w:sz w:val="18"/>
              </w:rPr>
            </w:r>
            <w:r>
              <w:rPr>
                <w:color w:val="222B33"/>
                <w:sz w:val="18"/>
              </w:rPr>
              <w:t>Nurture-to-meeting progression rate</w:t>
            </w:r>
          </w:p>
        </w:tc>
        <w:tc>
          <w:tcPr>
            <w:tcW w:type="dxa" w:w="1882"/>
            <w:shd w:val="clear" w:color="auto" w:fill="EAF6F5"/>
          </w:tcPr>
          <w:p>
            <w:r>
              <w:rPr>
                <w:color w:val="222B33"/>
                <w:sz w:val="18"/>
              </w:rPr>
            </w:r>
            <w:r>
              <w:rPr>
                <w:color w:val="222B33"/>
                <w:sz w:val="18"/>
              </w:rPr>
              <w:t>&lt;15% reply rate on warm-referred sends</w:t>
            </w:r>
          </w:p>
        </w:tc>
        <w:tc>
          <w:tcPr>
            <w:tcW w:type="dxa" w:w="1882"/>
            <w:shd w:val="clear" w:color="auto" w:fill="EAF6F5"/>
          </w:tcPr>
          <w:p>
            <w:r>
              <w:rPr>
                <w:color w:val="222B33"/>
                <w:sz w:val="18"/>
              </w:rPr>
            </w:r>
            <w:r>
              <w:rPr>
                <w:color w:val="222B33"/>
                <w:sz w:val="18"/>
              </w:rPr>
              <w:t>Monthly</w:t>
            </w:r>
          </w:p>
        </w:tc>
      </w:tr>
      <w:tr>
        <w:tc>
          <w:tcPr>
            <w:tcW w:type="dxa" w:w="1882"/>
          </w:tcPr>
          <w:p>
            <w:r>
              <w:rPr>
                <w:color w:val="222B33"/>
                <w:sz w:val="18"/>
              </w:rPr>
            </w:r>
            <w:r>
              <w:rPr>
                <w:color w:val="222B33"/>
                <w:sz w:val="18"/>
              </w:rPr>
              <w:t>SME opportunistic</w:t>
            </w:r>
          </w:p>
        </w:tc>
        <w:tc>
          <w:tcPr>
            <w:tcW w:type="dxa" w:w="1882"/>
          </w:tcPr>
          <w:p>
            <w:r>
              <w:rPr>
                <w:color w:val="222B33"/>
                <w:sz w:val="18"/>
              </w:rPr>
            </w:r>
            <w:r>
              <w:rPr>
                <w:color w:val="222B33"/>
                <w:sz w:val="18"/>
              </w:rPr>
              <w:t>Inbound sign-up/demo requests</w:t>
            </w:r>
          </w:p>
        </w:tc>
        <w:tc>
          <w:tcPr>
            <w:tcW w:type="dxa" w:w="1882"/>
          </w:tcPr>
          <w:p>
            <w:r>
              <w:rPr>
                <w:color w:val="222B33"/>
                <w:sz w:val="18"/>
              </w:rPr>
            </w:r>
            <w:r>
              <w:rPr>
                <w:color w:val="222B33"/>
                <w:sz w:val="18"/>
              </w:rPr>
              <w:t>Cost per demo request</w:t>
            </w:r>
          </w:p>
        </w:tc>
        <w:tc>
          <w:tcPr>
            <w:tcW w:type="dxa" w:w="1882"/>
          </w:tcPr>
          <w:p>
            <w:r>
              <w:rPr>
                <w:color w:val="222B33"/>
                <w:sz w:val="18"/>
              </w:rPr>
            </w:r>
            <w:r>
              <w:rPr>
                <w:color w:val="222B33"/>
                <w:sz w:val="18"/>
              </w:rPr>
              <w:t>Any dedicated spend beyond reserve allocation with no govt/BFSI spillover value</w:t>
            </w:r>
          </w:p>
        </w:tc>
        <w:tc>
          <w:tcPr>
            <w:tcW w:type="dxa" w:w="1882"/>
          </w:tcPr>
          <w:p>
            <w:r>
              <w:rPr>
                <w:color w:val="222B33"/>
                <w:sz w:val="18"/>
              </w:rPr>
            </w:r>
            <w:r>
              <w:rPr>
                <w:color w:val="222B33"/>
                <w:sz w:val="18"/>
              </w:rPr>
              <w:t>Quarterly</w:t>
            </w:r>
          </w:p>
        </w:tc>
      </w:tr>
    </w:tbl>
    <w:p/>
    <w:p>
      <w:r>
        <w:rPr>
          <w:b/>
          <w:color w:val="222B33"/>
          <w:sz w:val="21"/>
        </w:rPr>
        <w:t>North Star Metric:</w:t>
      </w:r>
      <w:r>
        <w:rPr>
          <w:color w:val="222B33"/>
          <w:sz w:val="21"/>
        </w:rPr>
        <w:t xml:space="preserve"> </w:t>
      </w:r>
      <w:r>
        <w:rPr>
          <w:i/>
          <w:color w:val="222B33"/>
          <w:sz w:val="21"/>
        </w:rPr>
        <w:t>Accounts progressed to an active Pilot/POC or scoping-MoU stage with an identified budget-holder</w:t>
      </w:r>
      <w:r>
        <w:rPr>
          <w:color w:val="222B33"/>
          <w:sz w:val="21"/>
        </w:rPr>
        <w:t xml:space="preserve"> — not raw lead count or MQLs. Given the IMS's 9-18-month govt cycle and 4-8-month BFSI cycle, top-of-funnel volume is a weak predictor of Year 1 revenue; the metric that actually predicts hitting the Phase 1/2 milestones is how many accounts have moved past interest into a concrete pilot/scoping commitment with a real economic buyer attached. Tracked per segment, since cycle lengths and channel mix differ materially.</w:t>
      </w:r>
    </w:p>
    <w:p>
      <w:pPr>
        <w:spacing w:before="320" w:after="160"/>
        <w:pStyle w:val="Heading2"/>
        <w:keepNext/>
        <w:pBdr>
          <w:bottom w:val="single" w:sz="6" w:space="4" w:color="B7E4E0"/>
        </w:pBdr>
      </w:pPr>
      <w:r>
        <w:rPr>
          <w:rFonts w:ascii="Calibri" w:hAnsi="Calibri"/>
          <w:b/>
          <w:color w:val="028090"/>
          <w:sz w:val="30"/>
        </w:rPr>
        <w:t>2.4 What NOT to Do (Anti-Channels)</w:t>
      </w:r>
    </w:p>
    <w:p>
      <w:pPr>
        <w:pStyle w:val="ListNumber"/>
      </w:pPr>
      <w:r>
        <w:rPr>
          <w:b/>
          <w:color w:val="222B33"/>
          <w:sz w:val="21"/>
        </w:rPr>
        <w:t>Google Search Ads for generic CX/helpdesk keywords</w:t>
      </w:r>
      <w:r>
        <w:rPr>
          <w:color w:val="222B33"/>
          <w:sz w:val="21"/>
        </w:rPr>
        <w:t xml:space="preserve"> — Indian CPCs run ₹150-400+/click, dominated by Freshdesk/Zoho/Zendesk brand-defense bidding; govt buyers don't self-serve search-shop, and generic intent skews toward the IMS-deprioritised SME segment. Revisit only in Phase 2+.</w:t>
      </w:r>
    </w:p>
    <w:p>
      <w:pPr>
        <w:pStyle w:val="ListNumber"/>
      </w:pPr>
      <w:r>
        <w:rPr>
          <w:b/>
          <w:color w:val="222B33"/>
          <w:sz w:val="21"/>
        </w:rPr>
        <w:t>Instagram/Twitter(X) organic</w:t>
      </w:r>
      <w:r>
        <w:rPr>
          <w:color w:val="222B33"/>
          <w:sz w:val="21"/>
        </w:rPr>
        <w:t xml:space="preserve"> — wrong audience for IT/e-governance officials and BFSI compliance heads; zero paid spend, zero content-calendar resourcing.</w:t>
      </w:r>
    </w:p>
    <w:p>
      <w:pPr>
        <w:pStyle w:val="ListNumber"/>
      </w:pPr>
      <w:r>
        <w:rPr>
          <w:b/>
          <w:color w:val="222B33"/>
          <w:sz w:val="21"/>
        </w:rPr>
        <w:t>Print advertising</w:t>
      </w:r>
      <w:r>
        <w:rPr>
          <w:color w:val="222B33"/>
          <w:sz w:val="21"/>
        </w:rPr>
        <w:t xml:space="preserve"> — a single insertion can consume 10-20% of the entire annual budget for negligible attributable leads; skip entirely in Y1.</w:t>
      </w:r>
    </w:p>
    <w:p>
      <w:pPr>
        <w:pStyle w:val="ListNumber"/>
      </w:pPr>
      <w:r>
        <w:rPr>
          <w:b/>
          <w:color w:val="222B33"/>
          <w:sz w:val="21"/>
        </w:rPr>
        <w:t>Mass email blasts</w:t>
      </w:r>
      <w:r>
        <w:rPr>
          <w:color w:val="222B33"/>
          <w:sz w:val="21"/>
        </w:rPr>
        <w:t xml:space="preserve"> to scraped govt/BFSI contact lists — damages domain reputation and can be vigilance-flagged in the govt context specifically. Only small, personalised, warm-referral sends permitted.</w:t>
      </w:r>
    </w:p>
    <w:p>
      <w:pPr>
        <w:pStyle w:val="ListNumber"/>
      </w:pPr>
      <w:r>
        <w:rPr>
          <w:b/>
          <w:color w:val="222B33"/>
          <w:sz w:val="21"/>
        </w:rPr>
        <w:t>Any channel requiring &gt;₹5L/month before proven</w:t>
      </w:r>
      <w:r>
        <w:rPr>
          <w:color w:val="222B33"/>
          <w:sz w:val="21"/>
        </w:rPr>
        <w:t xml:space="preserve"> — marquee event title sponsorships, pay-to-speak CXO summit headline slots, large-scale programmatic display, retainer PR agencies. None committed until a smaller-spend test has already produced a Phase 1 paying customer or case study.</w:t>
      </w:r>
    </w:p>
    <w:p>
      <w:pPr>
        <w:spacing w:before="320" w:after="160"/>
        <w:pStyle w:val="Heading1"/>
        <w:keepNext/>
        <w:pBdr>
          <w:bottom w:val="single" w:sz="14" w:space="4" w:color="028090"/>
        </w:pBdr>
      </w:pPr>
      <w:r>
        <w:rPr>
          <w:rFonts w:ascii="Calibri" w:hAnsi="Calibri"/>
          <w:b/>
          <w:color w:val="0D1B2A"/>
          <w:sz w:val="40"/>
        </w:rPr>
        <w:t>3. Content &amp; Thought Leadership</w:t>
      </w:r>
    </w:p>
    <w:p>
      <w:pPr>
        <w:spacing w:before="320" w:after="160"/>
        <w:pStyle w:val="Heading2"/>
        <w:keepNext/>
        <w:pBdr>
          <w:bottom w:val="single" w:sz="6" w:space="4" w:color="B7E4E0"/>
        </w:pBdr>
      </w:pPr>
      <w:r>
        <w:rPr>
          <w:rFonts w:ascii="Calibri" w:hAnsi="Calibri"/>
          <w:b/>
          <w:color w:val="028090"/>
          <w:sz w:val="30"/>
        </w:rPr>
        <w:t>3.1 Positioning Narrative</w:t>
      </w:r>
    </w:p>
    <w:p>
      <w:r>
        <w:rPr>
          <w:color w:val="222B33"/>
          <w:sz w:val="21"/>
        </w:rPr>
        <w:t xml:space="preserve">UniServe's content exists to make one argument, repeated in a hundred forms: a complaint is not a support ticket, it is a signal that either gets heard in time or turns into a headline, a regulatory notice, or an audit finding — and most complaint software is built to close tickets, not to make sure the right person hears the right complaint before it escalates. This is a different promise from Freshdesk's or Zoho's "delightful customer experience" positioning, which is a brand-loyalty argument aimed at a CX head trying to make customers happy; UniServe's argument is a risk-and-accountability argument aimed at someone who is personally on the hook — a discom CGM staring down an SERC compliance audit, an NBFC grievance head bracing for an RBI inspection, a hospital quality-cell head prepping for NABH surveyors — people for whom an unheard complaint is not a lost star rating but a career-risking, auditable failure. The company's authority to make this argument is not abstract: its founders observed this failure mode firsthand at a Tamil Nadu Electricity Board customer-care and social-media desk, where legitimate complaints were buried under duplicates and misclassification until the only ones that got heard were the ones that went viral or reached a Minister's office — and UniServe's classification, dedup, and prioritisation logic was built directly around that observed failure. </w:t>
      </w:r>
      <w:r>
        <w:rPr>
          <w:i/>
          <w:color w:val="222B33"/>
          <w:sz w:val="21"/>
        </w:rPr>
        <w:t>(This is strictly firsthand field observation that shaped product design — never a claim that TNEB is a customer, pilot, or endorser of UniServe; any content implying an existing TNEB relationship is a reputational risk and must be blocked before publish.)</w:t>
      </w:r>
      <w:r>
        <w:rPr>
          <w:color w:val="222B33"/>
          <w:sz w:val="21"/>
        </w:rPr>
        <w:t xml:space="preserve"> Every piece of content should return to the same throughline — "the complaint that gets heard" — reframing AI-native classification, WhatsApp-first intake, and audit trails as the mechanism by which the right complaint reaches the right desk before it becomes a crisis, a voice that lands equally with a government CX head fearing the Minister's-office escalation and a private-sector ops leader fearing the missed SLA and the regulator's TAT report.</w:t>
      </w:r>
    </w:p>
    <w:p>
      <w:pPr>
        <w:spacing w:before="320" w:after="160"/>
        <w:pStyle w:val="Heading2"/>
        <w:keepNext/>
        <w:pBdr>
          <w:bottom w:val="single" w:sz="6" w:space="4" w:color="B7E4E0"/>
        </w:pBdr>
      </w:pPr>
      <w:r>
        <w:rPr>
          <w:rFonts w:ascii="Calibri" w:hAnsi="Calibri"/>
          <w:b/>
          <w:color w:val="028090"/>
          <w:sz w:val="30"/>
        </w:rPr>
        <w:t>3.2 Content Pillars</w:t>
      </w:r>
    </w:p>
    <w:p>
      <w:r>
        <w:rPr>
          <w:b/>
          <w:color w:val="222B33"/>
          <w:sz w:val="21"/>
        </w:rPr>
        <w:t>Pillar 1: The Cost of the Unheard Complaint</w:t>
      </w:r>
      <w:r>
        <w:rPr>
          <w:color w:val="222B33"/>
          <w:sz w:val="21"/>
        </w:rPr>
        <w:t xml:space="preserve"> — Establishes the risk/ROI case that justifies budget against a "free" CPGRAMS alternative or an internal spreadsheet process; speaks in penalties/TAT-breaches/audit-exposure language, not "customer happiness." Types: data-driven blog explainers, benchmark reports, ROI calculators, LinkedIn carousels. Cadence: 1 flagship report/quarter, 1 blog/month, 1 LinkedIn post biweekly. Example topics: what a missed SLA costs a discom; the hidden cost of duplicate complaints; CPGRAMS vs. AI-native triage TAT comparison; why "closed ticket" is the wrong metric; the audit-trail gap a CAG auditor looks for.</w:t>
      </w:r>
    </w:p>
    <w:p>
      <w:r>
        <w:rPr>
          <w:b/>
          <w:color w:val="222B33"/>
          <w:sz w:val="21"/>
        </w:rPr>
        <w:t>Pillar 2: AI in Public Grievance</w:t>
      </w:r>
      <w:r>
        <w:rPr>
          <w:color w:val="222B33"/>
          <w:sz w:val="21"/>
        </w:rPr>
        <w:t xml:space="preserve"> — Category-defining thought leadership ahead of case studies; positions UniServe to CGM-level buyers and the e-governance network reached via the IIT Pravartak angle. Types: LinkedIn long-form/op-eds, policy analysis, webinar recaps, advisor guest contributions. Cadence: 1 long-form/month, 1 webinar/quarter. Example topics: why India's AI Mission budget jump matters for state grievance redressal; from CPGRAMS to AI-native triage; explainable AI for public-sector complaint classification; SERC-compliant AI-assisted TAT monitoring; lessons from an IIT Pravartak capstone on AI for public grievance systems.</w:t>
      </w:r>
    </w:p>
    <w:p>
      <w:r>
        <w:rPr>
          <w:b/>
          <w:color w:val="222B33"/>
          <w:sz w:val="21"/>
        </w:rPr>
        <w:t>Pillar 3: The WhatsApp-First Citizen</w:t>
      </w:r>
      <w:r>
        <w:rPr>
          <w:color w:val="222B33"/>
          <w:sz w:val="21"/>
        </w:rPr>
        <w:t xml:space="preserve"> — India-specific behavioural insight differentiating from Freshdesk/Zoho (email/web-first) and CPGRAMS/NIC portals (portal-only, poor UX). Types: short-form data posts, product demo video, UX teardown comparisons. Cadence: 1 LinkedIn post biweekly, 1 blog/month. Example topics: why citizens abandon web forms but stay on WhatsApp threads; WhatsApp vs. email vs. portal completion rates; designing intake for a WhatsApp-first country; a WhatsApp-first grievance flow demoed end to end; multilingual intake — today's English-only reality and the honest roadmap (must not overclaim vernacular support ahead of the Month 9 gate).</w:t>
      </w:r>
    </w:p>
    <w:p>
      <w:r>
        <w:rPr>
          <w:b/>
          <w:color w:val="222B33"/>
          <w:sz w:val="21"/>
        </w:rPr>
        <w:t>Pillar 4: Compliance as Competitive Advantage</w:t>
      </w:r>
      <w:r>
        <w:rPr>
          <w:color w:val="222B33"/>
          <w:sz w:val="21"/>
        </w:rPr>
        <w:t xml:space="preserve"> — Reframes compliance (RBI, TRAI, SERC/CGRF, NABH, DPDP) from checkbox cost to sales differentiator — tied directly to each segment's named fear in the IMS, and correctly weighted toward CGRF/SERC (govt, primary) and RBI Ombudsman/CMS (BFSI, secondary) rather than TRAI/telecom, which the IMS deprioritises. Types: gated compliance guides/checklists, comparison tables, on-prem/data-residency explainers — framed as "on-prem/in-India hosting because that's what govt procurement </w:t>
      </w:r>
      <w:r>
        <w:rPr>
          <w:i/>
          <w:color w:val="222B33"/>
          <w:sz w:val="21"/>
        </w:rPr>
        <w:t>practice</w:t>
      </w:r>
      <w:r>
        <w:rPr>
          <w:color w:val="222B33"/>
          <w:sz w:val="21"/>
        </w:rPr>
        <w:t xml:space="preserve"> requires," never as "DPDP mandates this," since the IMS explicitly corrects that DPDP 2023 does not itself mandate blanket data localisation. Cadence: 1 flagship gated guide/month, reactive posts on new circulars. Example topics: RBI Ombudsman readiness checklist for NBFCs/SFBs; what on-prem deployment actually buys a govt buyer (procurement-practice framing, not a DPDP-legal-mandate framing); NABH accreditation and "systematic complaint analysis"; SERC/CGRF TAT norms explained; on-prem vs. cloud as a compliance-first decision framework.</w:t>
      </w:r>
    </w:p>
    <w:p>
      <w:pPr>
        <w:spacing w:before="320" w:after="160"/>
        <w:pStyle w:val="Heading2"/>
        <w:keepNext/>
        <w:pBdr>
          <w:bottom w:val="single" w:sz="6" w:space="4" w:color="B7E4E0"/>
        </w:pBdr>
      </w:pPr>
      <w:r>
        <w:rPr>
          <w:rFonts w:ascii="Calibri" w:hAnsi="Calibri"/>
          <w:b/>
          <w:color w:val="028090"/>
          <w:sz w:val="30"/>
        </w:rPr>
        <w:t>3.3 Content Types + Cadence</w:t>
      </w:r>
    </w:p>
    <w:p>
      <w:r>
        <w:rPr>
          <w:color w:val="222B33"/>
          <w:sz w:val="21"/>
        </w:rPr>
        <w:t>Summarised above per pillar; overall cadence assumes a founder/small-team production model (no agency retainer), consistent with the Y1 budget's 25% content-production allocation.</w:t>
      </w:r>
    </w:p>
    <w:p>
      <w:r>
        <w:rPr>
          <w:b/>
          <w:color w:val="222B33"/>
          <w:sz w:val="21"/>
        </w:rPr>
        <w:t>Standing content-QA rule (adjudicated — see Process Notes):</w:t>
      </w:r>
      <w:r>
        <w:rPr>
          <w:color w:val="222B33"/>
          <w:sz w:val="21"/>
        </w:rPr>
        <w:t xml:space="preserve"> any composite/illustrative narrative, indicative ROI figure, or pre-case-study substitute must carry an explicit, visible "illustrative, not actual customer data" label — the same reputational-risk discipline that governs the TNEB framing applies to any hypothetical outcome number shown to a procurement committee.</w:t>
      </w:r>
    </w:p>
    <w:p>
      <w:pPr>
        <w:spacing w:before="320" w:after="160"/>
        <w:pStyle w:val="Heading2"/>
        <w:keepNext/>
        <w:pBdr>
          <w:bottom w:val="single" w:sz="6" w:space="4" w:color="B7E4E0"/>
        </w:pBdr>
      </w:pPr>
      <w:r>
        <w:rPr>
          <w:rFonts w:ascii="Calibri" w:hAnsi="Calibri"/>
          <w:b/>
          <w:color w:val="028090"/>
          <w:sz w:val="30"/>
        </w:rPr>
        <w:t>3.4 SEO Strategy</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0D1B2A"/>
          </w:tcPr>
          <w:p>
            <w:r>
              <w:rPr>
                <w:b/>
                <w:color w:val="FFFFFF"/>
                <w:sz w:val="19"/>
              </w:rPr>
            </w:r>
            <w:r>
              <w:rPr>
                <w:b/>
                <w:color w:val="FFFFFF"/>
                <w:sz w:val="19"/>
              </w:rPr>
              <w:t>Cluster</w:t>
            </w:r>
          </w:p>
        </w:tc>
        <w:tc>
          <w:tcPr>
            <w:tcW w:type="dxa" w:w="1569"/>
            <w:shd w:val="clear" w:color="auto" w:fill="0D1B2A"/>
          </w:tcPr>
          <w:p>
            <w:r>
              <w:rPr>
                <w:b/>
                <w:color w:val="FFFFFF"/>
                <w:sz w:val="19"/>
              </w:rPr>
            </w:r>
            <w:r>
              <w:rPr>
                <w:b/>
                <w:color w:val="FFFFFF"/>
                <w:sz w:val="19"/>
              </w:rPr>
              <w:t>Example keywords</w:t>
            </w:r>
          </w:p>
        </w:tc>
        <w:tc>
          <w:tcPr>
            <w:tcW w:type="dxa" w:w="1569"/>
            <w:shd w:val="clear" w:color="auto" w:fill="0D1B2A"/>
          </w:tcPr>
          <w:p>
            <w:r>
              <w:rPr>
                <w:b/>
                <w:color w:val="FFFFFF"/>
                <w:sz w:val="19"/>
              </w:rPr>
            </w:r>
            <w:r>
              <w:rPr>
                <w:b/>
                <w:color w:val="FFFFFF"/>
                <w:sz w:val="19"/>
              </w:rPr>
              <w:t>Search intent</w:t>
            </w:r>
          </w:p>
        </w:tc>
        <w:tc>
          <w:tcPr>
            <w:tcW w:type="dxa" w:w="1569"/>
            <w:shd w:val="clear" w:color="auto" w:fill="0D1B2A"/>
          </w:tcPr>
          <w:p>
            <w:r>
              <w:rPr>
                <w:b/>
                <w:color w:val="FFFFFF"/>
                <w:sz w:val="19"/>
              </w:rPr>
            </w:r>
            <w:r>
              <w:rPr>
                <w:b/>
                <w:color w:val="FFFFFF"/>
                <w:sz w:val="19"/>
              </w:rPr>
              <w:t>Difficulty</w:t>
            </w:r>
          </w:p>
        </w:tc>
        <w:tc>
          <w:tcPr>
            <w:tcW w:type="dxa" w:w="1569"/>
            <w:shd w:val="clear" w:color="auto" w:fill="0D1B2A"/>
          </w:tcPr>
          <w:p>
            <w:r>
              <w:rPr>
                <w:b/>
                <w:color w:val="FFFFFF"/>
                <w:sz w:val="19"/>
              </w:rPr>
            </w:r>
            <w:r>
              <w:rPr>
                <w:b/>
                <w:color w:val="FFFFFF"/>
                <w:sz w:val="19"/>
              </w:rPr>
              <w:t>Content type</w:t>
            </w:r>
          </w:p>
        </w:tc>
        <w:tc>
          <w:tcPr>
            <w:tcW w:type="dxa" w:w="1569"/>
            <w:shd w:val="clear" w:color="auto" w:fill="0D1B2A"/>
          </w:tcPr>
          <w:p>
            <w:r>
              <w:rPr>
                <w:b/>
                <w:color w:val="FFFFFF"/>
                <w:sz w:val="19"/>
              </w:rPr>
            </w:r>
            <w:r>
              <w:rPr>
                <w:b/>
                <w:color w:val="FFFFFF"/>
                <w:sz w:val="19"/>
              </w:rPr>
              <w:t>Priority</w:t>
            </w:r>
          </w:p>
        </w:tc>
      </w:tr>
      <w:tr>
        <w:tc>
          <w:tcPr>
            <w:tcW w:type="dxa" w:w="1569"/>
          </w:tcPr>
          <w:p>
            <w:r>
              <w:rPr>
                <w:color w:val="222B33"/>
                <w:sz w:val="18"/>
              </w:rPr>
            </w:r>
            <w:r>
              <w:rPr>
                <w:color w:val="222B33"/>
                <w:sz w:val="18"/>
              </w:rPr>
              <w:t>Category</w:t>
            </w:r>
          </w:p>
        </w:tc>
        <w:tc>
          <w:tcPr>
            <w:tcW w:type="dxa" w:w="1569"/>
          </w:tcPr>
          <w:p>
            <w:r>
              <w:rPr>
                <w:color w:val="222B33"/>
                <w:sz w:val="18"/>
              </w:rPr>
            </w:r>
            <w:r>
              <w:rPr>
                <w:color w:val="222B33"/>
                <w:sz w:val="18"/>
              </w:rPr>
              <w:t>complaint management software India, grievance redressal software</w:t>
            </w:r>
          </w:p>
        </w:tc>
        <w:tc>
          <w:tcPr>
            <w:tcW w:type="dxa" w:w="1569"/>
          </w:tcPr>
          <w:p>
            <w:r>
              <w:rPr>
                <w:color w:val="222B33"/>
                <w:sz w:val="18"/>
              </w:rPr>
            </w:r>
            <w:r>
              <w:rPr>
                <w:color w:val="222B33"/>
                <w:sz w:val="18"/>
              </w:rPr>
              <w:t>Commercial investigation</w:t>
            </w:r>
          </w:p>
        </w:tc>
        <w:tc>
          <w:tcPr>
            <w:tcW w:type="dxa" w:w="1569"/>
          </w:tcPr>
          <w:p>
            <w:r>
              <w:rPr>
                <w:color w:val="222B33"/>
                <w:sz w:val="18"/>
              </w:rPr>
            </w:r>
            <w:r>
              <w:rPr>
                <w:color w:val="222B33"/>
                <w:sz w:val="18"/>
              </w:rPr>
              <w:t>Medium-High (incumbents rank)</w:t>
            </w:r>
          </w:p>
        </w:tc>
        <w:tc>
          <w:tcPr>
            <w:tcW w:type="dxa" w:w="1569"/>
          </w:tcPr>
          <w:p>
            <w:r>
              <w:rPr>
                <w:color w:val="222B33"/>
                <w:sz w:val="18"/>
              </w:rPr>
            </w:r>
            <w:r>
              <w:rPr>
                <w:color w:val="222B33"/>
                <w:sz w:val="18"/>
              </w:rPr>
              <w:t>Category pillar + comparison hub</w:t>
            </w:r>
          </w:p>
        </w:tc>
        <w:tc>
          <w:tcPr>
            <w:tcW w:type="dxa" w:w="1569"/>
          </w:tcPr>
          <w:p>
            <w:r>
              <w:rPr>
                <w:color w:val="222B33"/>
                <w:sz w:val="18"/>
              </w:rPr>
            </w:r>
            <w:r>
              <w:rPr>
                <w:color w:val="222B33"/>
                <w:sz w:val="18"/>
              </w:rPr>
              <w:t>P1</w:t>
            </w:r>
          </w:p>
        </w:tc>
      </w:tr>
      <w:tr>
        <w:tc>
          <w:tcPr>
            <w:tcW w:type="dxa" w:w="1569"/>
            <w:shd w:val="clear" w:color="auto" w:fill="EAF6F5"/>
          </w:tcPr>
          <w:p>
            <w:r>
              <w:rPr>
                <w:color w:val="222B33"/>
                <w:sz w:val="18"/>
              </w:rPr>
            </w:r>
            <w:r>
              <w:rPr>
                <w:color w:val="222B33"/>
                <w:sz w:val="18"/>
              </w:rPr>
              <w:t>Pain</w:t>
            </w:r>
          </w:p>
        </w:tc>
        <w:tc>
          <w:tcPr>
            <w:tcW w:type="dxa" w:w="1569"/>
            <w:shd w:val="clear" w:color="auto" w:fill="EAF6F5"/>
          </w:tcPr>
          <w:p>
            <w:r>
              <w:rPr>
                <w:color w:val="222B33"/>
                <w:sz w:val="18"/>
              </w:rPr>
            </w:r>
            <w:r>
              <w:rPr>
                <w:color w:val="222B33"/>
                <w:sz w:val="18"/>
              </w:rPr>
              <w:t>how to manage customer complaints on WhatsApp, reduce complaint TAT, duplicate complaint detection software</w:t>
            </w:r>
          </w:p>
        </w:tc>
        <w:tc>
          <w:tcPr>
            <w:tcW w:type="dxa" w:w="1569"/>
            <w:shd w:val="clear" w:color="auto" w:fill="EAF6F5"/>
          </w:tcPr>
          <w:p>
            <w:r>
              <w:rPr>
                <w:color w:val="222B33"/>
                <w:sz w:val="18"/>
              </w:rPr>
            </w:r>
            <w:r>
              <w:rPr>
                <w:color w:val="222B33"/>
                <w:sz w:val="18"/>
              </w:rPr>
              <w:t>Early-funnel informational</w:t>
            </w:r>
          </w:p>
        </w:tc>
        <w:tc>
          <w:tcPr>
            <w:tcW w:type="dxa" w:w="1569"/>
            <w:shd w:val="clear" w:color="auto" w:fill="EAF6F5"/>
          </w:tcPr>
          <w:p>
            <w:r>
              <w:rPr>
                <w:color w:val="222B33"/>
                <w:sz w:val="18"/>
              </w:rPr>
            </w:r>
            <w:r>
              <w:rPr>
                <w:color w:val="222B33"/>
                <w:sz w:val="18"/>
              </w:rPr>
              <w:t>Low-Medium</w:t>
            </w:r>
          </w:p>
        </w:tc>
        <w:tc>
          <w:tcPr>
            <w:tcW w:type="dxa" w:w="1569"/>
            <w:shd w:val="clear" w:color="auto" w:fill="EAF6F5"/>
          </w:tcPr>
          <w:p>
            <w:r>
              <w:rPr>
                <w:color w:val="222B33"/>
                <w:sz w:val="18"/>
              </w:rPr>
            </w:r>
            <w:r>
              <w:rPr>
                <w:color w:val="222B33"/>
                <w:sz w:val="18"/>
              </w:rPr>
              <w:t>How-to blog/explainer</w:t>
            </w:r>
          </w:p>
        </w:tc>
        <w:tc>
          <w:tcPr>
            <w:tcW w:type="dxa" w:w="1569"/>
            <w:shd w:val="clear" w:color="auto" w:fill="EAF6F5"/>
          </w:tcPr>
          <w:p>
            <w:r>
              <w:rPr>
                <w:color w:val="222B33"/>
                <w:sz w:val="18"/>
              </w:rPr>
            </w:r>
            <w:r>
              <w:rPr>
                <w:color w:val="222B33"/>
                <w:sz w:val="18"/>
              </w:rPr>
              <w:t>P1</w:t>
            </w:r>
          </w:p>
        </w:tc>
      </w:tr>
      <w:tr>
        <w:tc>
          <w:tcPr>
            <w:tcW w:type="dxa" w:w="1569"/>
          </w:tcPr>
          <w:p>
            <w:r>
              <w:rPr>
                <w:color w:val="222B33"/>
                <w:sz w:val="18"/>
              </w:rPr>
            </w:r>
            <w:r>
              <w:rPr>
                <w:color w:val="222B33"/>
                <w:sz w:val="18"/>
              </w:rPr>
              <w:t>Compliance</w:t>
            </w:r>
          </w:p>
        </w:tc>
        <w:tc>
          <w:tcPr>
            <w:tcW w:type="dxa" w:w="1569"/>
          </w:tcPr>
          <w:p>
            <w:r>
              <w:rPr>
                <w:color w:val="222B33"/>
                <w:sz w:val="18"/>
              </w:rPr>
            </w:r>
            <w:r>
              <w:rPr>
                <w:color w:val="222B33"/>
                <w:sz w:val="18"/>
              </w:rPr>
              <w:t>RBI grievance redressal system, RBI Integrated Ombudsman Scheme software, TRAI complaint management, NABH complaint management, SERC CGRF compliance software</w:t>
            </w:r>
          </w:p>
        </w:tc>
        <w:tc>
          <w:tcPr>
            <w:tcW w:type="dxa" w:w="1569"/>
          </w:tcPr>
          <w:p>
            <w:r>
              <w:rPr>
                <w:color w:val="222B33"/>
                <w:sz w:val="18"/>
              </w:rPr>
            </w:r>
            <w:r>
              <w:rPr>
                <w:color w:val="222B33"/>
                <w:sz w:val="18"/>
              </w:rPr>
              <w:t>High-intent, compliance-anxious</w:t>
            </w:r>
          </w:p>
        </w:tc>
        <w:tc>
          <w:tcPr>
            <w:tcW w:type="dxa" w:w="1569"/>
          </w:tcPr>
          <w:p>
            <w:r>
              <w:rPr>
                <w:color w:val="222B33"/>
                <w:sz w:val="18"/>
              </w:rPr>
            </w:r>
            <w:r>
              <w:rPr>
                <w:color w:val="222B33"/>
                <w:sz w:val="18"/>
              </w:rPr>
              <w:t>Low (niche, low competition)</w:t>
            </w:r>
          </w:p>
        </w:tc>
        <w:tc>
          <w:tcPr>
            <w:tcW w:type="dxa" w:w="1569"/>
          </w:tcPr>
          <w:p>
            <w:r>
              <w:rPr>
                <w:color w:val="222B33"/>
                <w:sz w:val="18"/>
              </w:rPr>
            </w:r>
            <w:r>
              <w:rPr>
                <w:color w:val="222B33"/>
                <w:sz w:val="18"/>
              </w:rPr>
              <w:t>Gated compliance guide + landing page</w:t>
            </w:r>
          </w:p>
        </w:tc>
        <w:tc>
          <w:tcPr>
            <w:tcW w:type="dxa" w:w="1569"/>
          </w:tcPr>
          <w:p>
            <w:r>
              <w:rPr>
                <w:color w:val="222B33"/>
                <w:sz w:val="18"/>
              </w:rPr>
            </w:r>
            <w:r>
              <w:rPr>
                <w:color w:val="222B33"/>
                <w:sz w:val="18"/>
              </w:rPr>
              <w:t>P1 (best intent-to-difficulty ratio)</w:t>
            </w:r>
          </w:p>
        </w:tc>
      </w:tr>
      <w:tr>
        <w:tc>
          <w:tcPr>
            <w:tcW w:type="dxa" w:w="1569"/>
            <w:shd w:val="clear" w:color="auto" w:fill="EAF6F5"/>
          </w:tcPr>
          <w:p>
            <w:r>
              <w:rPr>
                <w:color w:val="222B33"/>
                <w:sz w:val="18"/>
              </w:rPr>
            </w:r>
            <w:r>
              <w:rPr>
                <w:color w:val="222B33"/>
                <w:sz w:val="18"/>
              </w:rPr>
              <w:t>Government</w:t>
            </w:r>
          </w:p>
        </w:tc>
        <w:tc>
          <w:tcPr>
            <w:tcW w:type="dxa" w:w="1569"/>
            <w:shd w:val="clear" w:color="auto" w:fill="EAF6F5"/>
          </w:tcPr>
          <w:p>
            <w:r>
              <w:rPr>
                <w:color w:val="222B33"/>
                <w:sz w:val="18"/>
              </w:rPr>
            </w:r>
            <w:r>
              <w:rPr>
                <w:color w:val="222B33"/>
                <w:sz w:val="18"/>
              </w:rPr>
              <w:t>grievance portal India, CPGRAMS alternative, e-governance/discom complaint management software</w:t>
            </w:r>
          </w:p>
        </w:tc>
        <w:tc>
          <w:tcPr>
            <w:tcW w:type="dxa" w:w="1569"/>
            <w:shd w:val="clear" w:color="auto" w:fill="EAF6F5"/>
          </w:tcPr>
          <w:p>
            <w:r>
              <w:rPr>
                <w:color w:val="222B33"/>
                <w:sz w:val="18"/>
              </w:rPr>
            </w:r>
            <w:r>
              <w:rPr>
                <w:color w:val="222B33"/>
                <w:sz w:val="18"/>
              </w:rPr>
              <w:t>Navigational/comparison</w:t>
            </w:r>
          </w:p>
        </w:tc>
        <w:tc>
          <w:tcPr>
            <w:tcW w:type="dxa" w:w="1569"/>
            <w:shd w:val="clear" w:color="auto" w:fill="EAF6F5"/>
          </w:tcPr>
          <w:p>
            <w:r>
              <w:rPr>
                <w:color w:val="222B33"/>
                <w:sz w:val="18"/>
              </w:rPr>
            </w:r>
            <w:r>
              <w:rPr>
                <w:color w:val="222B33"/>
                <w:sz w:val="18"/>
              </w:rPr>
              <w:t>Low (few dedicated competitors)</w:t>
            </w:r>
          </w:p>
        </w:tc>
        <w:tc>
          <w:tcPr>
            <w:tcW w:type="dxa" w:w="1569"/>
            <w:shd w:val="clear" w:color="auto" w:fill="EAF6F5"/>
          </w:tcPr>
          <w:p>
            <w:r>
              <w:rPr>
                <w:color w:val="222B33"/>
                <w:sz w:val="18"/>
              </w:rPr>
            </w:r>
            <w:r>
              <w:rPr>
                <w:color w:val="222B33"/>
                <w:sz w:val="18"/>
              </w:rPr>
              <w:t>Comparison landing page + "alternative" blog</w:t>
            </w:r>
          </w:p>
        </w:tc>
        <w:tc>
          <w:tcPr>
            <w:tcW w:type="dxa" w:w="1569"/>
            <w:shd w:val="clear" w:color="auto" w:fill="EAF6F5"/>
          </w:tcPr>
          <w:p>
            <w:r>
              <w:rPr>
                <w:color w:val="222B33"/>
                <w:sz w:val="18"/>
              </w:rPr>
            </w:r>
            <w:r>
              <w:rPr>
                <w:color w:val="222B33"/>
                <w:sz w:val="18"/>
              </w:rPr>
              <w:t>P1</w:t>
            </w:r>
          </w:p>
        </w:tc>
      </w:tr>
      <w:tr>
        <w:tc>
          <w:tcPr>
            <w:tcW w:type="dxa" w:w="1569"/>
          </w:tcPr>
          <w:p>
            <w:r>
              <w:rPr>
                <w:color w:val="222B33"/>
                <w:sz w:val="18"/>
              </w:rPr>
            </w:r>
            <w:r>
              <w:rPr>
                <w:color w:val="222B33"/>
                <w:sz w:val="18"/>
              </w:rPr>
              <w:t>Competitor</w:t>
            </w:r>
          </w:p>
        </w:tc>
        <w:tc>
          <w:tcPr>
            <w:tcW w:type="dxa" w:w="1569"/>
          </w:tcPr>
          <w:p>
            <w:r>
              <w:rPr>
                <w:color w:val="222B33"/>
                <w:sz w:val="18"/>
              </w:rPr>
            </w:r>
            <w:r>
              <w:rPr>
                <w:color w:val="222B33"/>
                <w:sz w:val="18"/>
              </w:rPr>
              <w:t>Freshdesk alternative India, Zoho Desk India pricing</w:t>
            </w:r>
          </w:p>
        </w:tc>
        <w:tc>
          <w:tcPr>
            <w:tcW w:type="dxa" w:w="1569"/>
          </w:tcPr>
          <w:p>
            <w:r>
              <w:rPr>
                <w:color w:val="222B33"/>
                <w:sz w:val="18"/>
              </w:rPr>
            </w:r>
            <w:r>
              <w:rPr>
                <w:color w:val="222B33"/>
                <w:sz w:val="18"/>
              </w:rPr>
              <w:t>Bottom-funnel comparison</w:t>
            </w:r>
          </w:p>
        </w:tc>
        <w:tc>
          <w:tcPr>
            <w:tcW w:type="dxa" w:w="1569"/>
          </w:tcPr>
          <w:p>
            <w:r>
              <w:rPr>
                <w:color w:val="222B33"/>
                <w:sz w:val="18"/>
              </w:rPr>
            </w:r>
            <w:r>
              <w:rPr>
                <w:color w:val="222B33"/>
                <w:sz w:val="18"/>
              </w:rPr>
              <w:t>Medium-High (brand terms owned by incumbents)</w:t>
            </w:r>
          </w:p>
        </w:tc>
        <w:tc>
          <w:tcPr>
            <w:tcW w:type="dxa" w:w="1569"/>
          </w:tcPr>
          <w:p>
            <w:r>
              <w:rPr>
                <w:color w:val="222B33"/>
                <w:sz w:val="18"/>
              </w:rPr>
            </w:r>
            <w:r>
              <w:rPr>
                <w:color w:val="222B33"/>
                <w:sz w:val="18"/>
              </w:rPr>
              <w:t>Comparison page</w:t>
            </w:r>
          </w:p>
        </w:tc>
        <w:tc>
          <w:tcPr>
            <w:tcW w:type="dxa" w:w="1569"/>
          </w:tcPr>
          <w:p>
            <w:r>
              <w:rPr>
                <w:color w:val="222B33"/>
                <w:sz w:val="18"/>
              </w:rPr>
            </w:r>
            <w:r>
              <w:rPr>
                <w:color w:val="222B33"/>
                <w:sz w:val="18"/>
              </w:rPr>
              <w:t>P2</w:t>
            </w:r>
          </w:p>
        </w:tc>
      </w:tr>
    </w:tbl>
    <w:p/>
    <w:p>
      <w:r>
        <w:rPr>
          <w:b/>
          <w:color w:val="222B33"/>
          <w:sz w:val="21"/>
        </w:rPr>
        <w:t>India-specific notes:</w:t>
      </w:r>
      <w:r>
        <w:rPr>
          <w:color w:val="222B33"/>
          <w:sz w:val="21"/>
        </w:rPr>
        <w:t xml:space="preserve"> Product is English-only until the Month 9 Hindi gate — do NOT build Hindi-language landing pages or target Hindi-intent keywords ahead of that (creates a bounce/credibility mismatch); revisit Hindi SEO at Month 9+ alongside the two further regional languages promised by Month 18. Secure/use a </w:t>
      </w:r>
      <w:r>
        <w:rPr>
          <w:rFonts w:ascii="Consolas" w:hAnsi="Consolas"/>
          <w:color w:val="222B33"/>
          <w:sz w:val="21"/>
        </w:rPr>
        <w:t>.in</w:t>
      </w:r>
      <w:r>
        <w:rPr>
          <w:color w:val="222B33"/>
          <w:sz w:val="21"/>
        </w:rPr>
        <w:t xml:space="preserve"> domain — a trust signal for MeitY/state e-governance procurement reviewers. Sequence local-SEO city pages to match the phase rollout: Chennai/Tamil Nadu first, then Bengaluru, Mumbai/Pune, Ahmedabad as Phase 2 opens.</w:t>
      </w:r>
    </w:p>
    <w:p>
      <w:pPr>
        <w:spacing w:before="320" w:after="160"/>
        <w:pStyle w:val="Heading2"/>
        <w:keepNext/>
        <w:pBdr>
          <w:bottom w:val="single" w:sz="6" w:space="4" w:color="B7E4E0"/>
        </w:pBdr>
      </w:pPr>
      <w:r>
        <w:rPr>
          <w:rFonts w:ascii="Calibri" w:hAnsi="Calibri"/>
          <w:b/>
          <w:color w:val="028090"/>
          <w:sz w:val="30"/>
        </w:rPr>
        <w:t>3.5 Case Study Framework</w:t>
      </w:r>
    </w:p>
    <w:p>
      <w:r>
        <w:rPr>
          <w:b/>
          <w:color w:val="222B33"/>
          <w:sz w:val="21"/>
        </w:rPr>
        <w:t>Structure (once paying customers exist):</w:t>
      </w:r>
      <w:r>
        <w:rPr>
          <w:color w:val="222B33"/>
          <w:sz w:val="21"/>
        </w:rPr>
        <w:t xml:space="preserve"> Customer (org type/size/geography, anonymised if preferred) → Problem (specific quantified pain — TAT, backlog, duplicate rate, the compliance trigger that created urgency) → Solution (what deployed, how fast — speed-to-value as its own differentiator vs. govt IT rollout norms) → Result (exactly 3 quantified outcomes) → Quote (named person/title if possible; role-based attribution if anonymity required — never a fabricated name).</w:t>
      </w:r>
    </w:p>
    <w:p>
      <w:r>
        <w:rPr>
          <w:b/>
          <w:color w:val="222B33"/>
          <w:sz w:val="21"/>
        </w:rPr>
        <w:t>Pre-case-study substitutes (critical — zero customers exist today):</w:t>
      </w:r>
    </w:p>
    <w:p>
      <w:pPr>
        <w:pStyle w:val="ListNumber"/>
      </w:pPr>
      <w:r>
        <w:rPr>
          <w:b/>
          <w:color w:val="222B33"/>
          <w:sz w:val="21"/>
        </w:rPr>
        <w:t>"State of Complaint Management in India" benchmark survey/report</w:t>
      </w:r>
      <w:r>
        <w:rPr>
          <w:color w:val="222B33"/>
          <w:sz w:val="21"/>
        </w:rPr>
        <w:t xml:space="preserve"> — surveys prospects (not customers) across discoms/NBFCs/hospitals on TAT, backlog, duplicate rates, audit-readiness gaps; doubles as lead-gen and market-research credibility.</w:t>
      </w:r>
    </w:p>
    <w:p>
      <w:pPr>
        <w:pStyle w:val="ListNumber"/>
      </w:pPr>
      <w:r>
        <w:rPr>
          <w:b/>
          <w:color w:val="222B33"/>
          <w:sz w:val="21"/>
        </w:rPr>
        <w:t>IIT Pravartak capstone findings</w:t>
      </w:r>
      <w:r>
        <w:rPr>
          <w:color w:val="222B33"/>
          <w:sz w:val="21"/>
        </w:rPr>
        <w:t>, published as a research/academic artifact (methodology, classification-accuracy findings, anonymised pattern analysis) — framed explicitly as research, not a customer result, preserving the no-TNEB-relationship constraint.</w:t>
      </w:r>
    </w:p>
    <w:p>
      <w:pPr>
        <w:pStyle w:val="ListNumber"/>
      </w:pPr>
      <w:r>
        <w:rPr>
          <w:b/>
          <w:color w:val="222B33"/>
          <w:sz w:val="21"/>
        </w:rPr>
        <w:t>Pilot playbook pre-commitment</w:t>
      </w:r>
      <w:r>
        <w:rPr>
          <w:color w:val="222B33"/>
          <w:sz w:val="21"/>
        </w:rPr>
        <w:t xml:space="preserve"> — build a case-study/reference clause into the Government Edition contract at signing, so the first paying customer (Phase 1 milestone) becomes a documented case study within 60-90 days of go-live.</w:t>
      </w:r>
    </w:p>
    <w:p>
      <w:pPr>
        <w:pStyle w:val="ListNumber"/>
      </w:pPr>
      <w:r>
        <w:rPr>
          <w:b/>
          <w:color w:val="222B33"/>
          <w:sz w:val="21"/>
        </w:rPr>
        <w:t>Composite/illustrative narratives</w:t>
      </w:r>
      <w:r>
        <w:rPr>
          <w:color w:val="222B33"/>
          <w:sz w:val="21"/>
        </w:rPr>
        <w:t xml:space="preserve"> ("A day in the life of a discom CGM") — explicitly labelled as illustrative composites, never attributed to a real organisation.</w:t>
      </w:r>
    </w:p>
    <w:p>
      <w:pPr>
        <w:spacing w:before="320" w:after="160"/>
        <w:pStyle w:val="Heading2"/>
        <w:keepNext/>
        <w:pBdr>
          <w:bottom w:val="single" w:sz="6" w:space="4" w:color="B7E4E0"/>
        </w:pBdr>
      </w:pPr>
      <w:r>
        <w:rPr>
          <w:rFonts w:ascii="Calibri" w:hAnsi="Calibri"/>
          <w:b/>
          <w:color w:val="028090"/>
          <w:sz w:val="30"/>
        </w:rPr>
        <w:t>3.6 Quarterly Content Calendar</w:t>
      </w:r>
    </w:p>
    <w:p>
      <w:pPr>
        <w:pStyle w:val="Heading3"/>
        <w:keepNext/>
        <w:spacing w:before="200" w:after="80"/>
      </w:pPr>
      <w:r>
        <w:rPr>
          <w:rFonts w:ascii="Calibri" w:hAnsi="Calibri"/>
          <w:b/>
          <w:color w:val="1B3A52"/>
          <w:sz w:val="25"/>
        </w:rPr>
        <w:t>Q1 (12 weeks, full detail)</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shd w:val="clear" w:color="auto" w:fill="0D1B2A"/>
          </w:tcPr>
          <w:p>
            <w:r>
              <w:rPr>
                <w:b/>
                <w:color w:val="FFFFFF"/>
                <w:sz w:val="19"/>
              </w:rPr>
            </w:r>
            <w:r>
              <w:rPr>
                <w:b/>
                <w:color w:val="FFFFFF"/>
                <w:sz w:val="19"/>
              </w:rPr>
              <w:t>Week</w:t>
            </w:r>
          </w:p>
        </w:tc>
        <w:tc>
          <w:tcPr>
            <w:tcW w:type="dxa" w:w="1569"/>
            <w:shd w:val="clear" w:color="auto" w:fill="0D1B2A"/>
          </w:tcPr>
          <w:p>
            <w:r>
              <w:rPr>
                <w:b/>
                <w:color w:val="FFFFFF"/>
                <w:sz w:val="19"/>
              </w:rPr>
            </w:r>
            <w:r>
              <w:rPr>
                <w:b/>
                <w:color w:val="FFFFFF"/>
                <w:sz w:val="19"/>
              </w:rPr>
              <w:t>Content Type</w:t>
            </w:r>
          </w:p>
        </w:tc>
        <w:tc>
          <w:tcPr>
            <w:tcW w:type="dxa" w:w="1569"/>
            <w:shd w:val="clear" w:color="auto" w:fill="0D1B2A"/>
          </w:tcPr>
          <w:p>
            <w:r>
              <w:rPr>
                <w:b/>
                <w:color w:val="FFFFFF"/>
                <w:sz w:val="19"/>
              </w:rPr>
            </w:r>
            <w:r>
              <w:rPr>
                <w:b/>
                <w:color w:val="FFFFFF"/>
                <w:sz w:val="19"/>
              </w:rPr>
              <w:t>Topic</w:t>
            </w:r>
          </w:p>
        </w:tc>
        <w:tc>
          <w:tcPr>
            <w:tcW w:type="dxa" w:w="1569"/>
            <w:shd w:val="clear" w:color="auto" w:fill="0D1B2A"/>
          </w:tcPr>
          <w:p>
            <w:r>
              <w:rPr>
                <w:b/>
                <w:color w:val="FFFFFF"/>
                <w:sz w:val="19"/>
              </w:rPr>
            </w:r>
            <w:r>
              <w:rPr>
                <w:b/>
                <w:color w:val="FFFFFF"/>
                <w:sz w:val="19"/>
              </w:rPr>
              <w:t>Channel</w:t>
            </w:r>
          </w:p>
        </w:tc>
        <w:tc>
          <w:tcPr>
            <w:tcW w:type="dxa" w:w="1569"/>
            <w:shd w:val="clear" w:color="auto" w:fill="0D1B2A"/>
          </w:tcPr>
          <w:p>
            <w:r>
              <w:rPr>
                <w:b/>
                <w:color w:val="FFFFFF"/>
                <w:sz w:val="19"/>
              </w:rPr>
            </w:r>
            <w:r>
              <w:rPr>
                <w:b/>
                <w:color w:val="FFFFFF"/>
                <w:sz w:val="19"/>
              </w:rPr>
              <w:t>Owner</w:t>
            </w:r>
          </w:p>
        </w:tc>
        <w:tc>
          <w:tcPr>
            <w:tcW w:type="dxa" w:w="1569"/>
            <w:shd w:val="clear" w:color="auto" w:fill="0D1B2A"/>
          </w:tcPr>
          <w:p>
            <w:r>
              <w:rPr>
                <w:b/>
                <w:color w:val="FFFFFF"/>
                <w:sz w:val="19"/>
              </w:rPr>
            </w:r>
            <w:r>
              <w:rPr>
                <w:b/>
                <w:color w:val="FFFFFF"/>
                <w:sz w:val="19"/>
              </w:rPr>
              <w:t>Goal</w:t>
            </w:r>
          </w:p>
        </w:tc>
      </w:tr>
      <w:tr>
        <w:tc>
          <w:tcPr>
            <w:tcW w:type="dxa" w:w="1569"/>
          </w:tcPr>
          <w:p>
            <w:r>
              <w:rPr>
                <w:color w:val="222B33"/>
                <w:sz w:val="18"/>
              </w:rPr>
            </w:r>
            <w:r>
              <w:rPr>
                <w:color w:val="222B33"/>
                <w:sz w:val="18"/>
              </w:rPr>
              <w:t>1</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What a missed SLA actually costs a discom</w:t>
            </w:r>
          </w:p>
        </w:tc>
        <w:tc>
          <w:tcPr>
            <w:tcW w:type="dxa" w:w="1569"/>
          </w:tcPr>
          <w:p>
            <w:r>
              <w:rPr>
                <w:color w:val="222B33"/>
                <w:sz w:val="18"/>
              </w:rPr>
            </w:r>
            <w:r>
              <w:rPr>
                <w:color w:val="222B33"/>
                <w:sz w:val="18"/>
              </w:rPr>
              <w:t>Blog + LinkedIn</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Seed risk narrative; begin compliance-keyword SEO</w:t>
            </w:r>
          </w:p>
        </w:tc>
      </w:tr>
      <w:tr>
        <w:tc>
          <w:tcPr>
            <w:tcW w:type="dxa" w:w="1569"/>
            <w:shd w:val="clear" w:color="auto" w:fill="EAF6F5"/>
          </w:tcPr>
          <w:p>
            <w:r>
              <w:rPr>
                <w:color w:val="222B33"/>
                <w:sz w:val="18"/>
              </w:rPr>
            </w:r>
            <w:r>
              <w:rPr>
                <w:color w:val="222B33"/>
                <w:sz w:val="18"/>
              </w:rPr>
              <w:t>2</w:t>
            </w:r>
          </w:p>
        </w:tc>
        <w:tc>
          <w:tcPr>
            <w:tcW w:type="dxa" w:w="1569"/>
            <w:shd w:val="clear" w:color="auto" w:fill="EAF6F5"/>
          </w:tcPr>
          <w:p>
            <w:r>
              <w:rPr>
                <w:color w:val="222B33"/>
                <w:sz w:val="18"/>
              </w:rPr>
            </w:r>
            <w:r>
              <w:rPr>
                <w:color w:val="222B33"/>
                <w:sz w:val="18"/>
              </w:rPr>
              <w:t>Survey launch</w:t>
            </w:r>
          </w:p>
        </w:tc>
        <w:tc>
          <w:tcPr>
            <w:tcW w:type="dxa" w:w="1569"/>
            <w:shd w:val="clear" w:color="auto" w:fill="EAF6F5"/>
          </w:tcPr>
          <w:p>
            <w:r>
              <w:rPr>
                <w:color w:val="222B33"/>
                <w:sz w:val="18"/>
              </w:rPr>
            </w:r>
            <w:r>
              <w:rPr>
                <w:color w:val="222B33"/>
                <w:sz w:val="18"/>
              </w:rPr>
              <w:t>"State of Complaint Management in India 2026" launch to network, IIT Pravartak alumni/faculty</w:t>
            </w:r>
          </w:p>
        </w:tc>
        <w:tc>
          <w:tcPr>
            <w:tcW w:type="dxa" w:w="1569"/>
            <w:shd w:val="clear" w:color="auto" w:fill="EAF6F5"/>
          </w:tcPr>
          <w:p>
            <w:r>
              <w:rPr>
                <w:color w:val="222B33"/>
                <w:sz w:val="18"/>
              </w:rPr>
            </w:r>
            <w:r>
              <w:rPr>
                <w:color w:val="222B33"/>
                <w:sz w:val="18"/>
              </w:rPr>
              <w:t>LinkedIn + Email</w:t>
            </w:r>
          </w:p>
        </w:tc>
        <w:tc>
          <w:tcPr>
            <w:tcW w:type="dxa" w:w="1569"/>
            <w:shd w:val="clear" w:color="auto" w:fill="EAF6F5"/>
          </w:tcPr>
          <w:p>
            <w:r>
              <w:rPr>
                <w:color w:val="222B33"/>
                <w:sz w:val="18"/>
              </w:rPr>
            </w:r>
            <w:r>
              <w:rPr>
                <w:color w:val="222B33"/>
                <w:sz w:val="18"/>
              </w:rPr>
              <w:t>Founder</w:t>
            </w:r>
          </w:p>
        </w:tc>
        <w:tc>
          <w:tcPr>
            <w:tcW w:type="dxa" w:w="1569"/>
            <w:shd w:val="clear" w:color="auto" w:fill="EAF6F5"/>
          </w:tcPr>
          <w:p>
            <w:r>
              <w:rPr>
                <w:color w:val="222B33"/>
                <w:sz w:val="18"/>
              </w:rPr>
            </w:r>
            <w:r>
              <w:rPr>
                <w:color w:val="222B33"/>
                <w:sz w:val="18"/>
              </w:rPr>
              <w:t>Lead gen + data collection for Q2 benchmark report</w:t>
            </w:r>
          </w:p>
        </w:tc>
      </w:tr>
      <w:tr>
        <w:tc>
          <w:tcPr>
            <w:tcW w:type="dxa" w:w="1569"/>
          </w:tcPr>
          <w:p>
            <w:r>
              <w:rPr>
                <w:color w:val="222B33"/>
                <w:sz w:val="18"/>
              </w:rPr>
            </w:r>
            <w:r>
              <w:rPr>
                <w:color w:val="222B33"/>
                <w:sz w:val="18"/>
              </w:rPr>
              <w:t>3</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Why citizens abandon web complaint forms but stay on WhatsApp</w:t>
            </w:r>
          </w:p>
        </w:tc>
        <w:tc>
          <w:tcPr>
            <w:tcW w:type="dxa" w:w="1569"/>
          </w:tcPr>
          <w:p>
            <w:r>
              <w:rPr>
                <w:color w:val="222B33"/>
                <w:sz w:val="18"/>
              </w:rPr>
            </w:r>
            <w:r>
              <w:rPr>
                <w:color w:val="222B33"/>
                <w:sz w:val="18"/>
              </w:rPr>
              <w:t>Blog + LinkedIn</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Pain-keyword SEO; product differentiation</w:t>
            </w:r>
          </w:p>
        </w:tc>
      </w:tr>
      <w:tr>
        <w:tc>
          <w:tcPr>
            <w:tcW w:type="dxa" w:w="1569"/>
            <w:shd w:val="clear" w:color="auto" w:fill="EAF6F5"/>
          </w:tcPr>
          <w:p>
            <w:r>
              <w:rPr>
                <w:color w:val="222B33"/>
                <w:sz w:val="18"/>
              </w:rPr>
            </w:r>
            <w:r>
              <w:rPr>
                <w:color w:val="222B33"/>
                <w:sz w:val="18"/>
              </w:rPr>
              <w:t>4</w:t>
            </w:r>
          </w:p>
        </w:tc>
        <w:tc>
          <w:tcPr>
            <w:tcW w:type="dxa" w:w="1569"/>
            <w:shd w:val="clear" w:color="auto" w:fill="EAF6F5"/>
          </w:tcPr>
          <w:p>
            <w:r>
              <w:rPr>
                <w:color w:val="222B33"/>
                <w:sz w:val="18"/>
              </w:rPr>
            </w:r>
            <w:r>
              <w:rPr>
                <w:color w:val="222B33"/>
                <w:sz w:val="18"/>
              </w:rPr>
              <w:t>Founder post</w:t>
            </w:r>
          </w:p>
        </w:tc>
        <w:tc>
          <w:tcPr>
            <w:tcW w:type="dxa" w:w="1569"/>
            <w:shd w:val="clear" w:color="auto" w:fill="EAF6F5"/>
          </w:tcPr>
          <w:p>
            <w:r>
              <w:rPr>
                <w:color w:val="222B33"/>
                <w:sz w:val="18"/>
              </w:rPr>
            </w:r>
            <w:r>
              <w:rPr>
                <w:color w:val="222B33"/>
                <w:sz w:val="18"/>
              </w:rPr>
              <w:t>"What I saw at a complaint desk in Tamil Nadu" (origin story, carefully framed)</w:t>
            </w:r>
          </w:p>
        </w:tc>
        <w:tc>
          <w:tcPr>
            <w:tcW w:type="dxa" w:w="1569"/>
            <w:shd w:val="clear" w:color="auto" w:fill="EAF6F5"/>
          </w:tcPr>
          <w:p>
            <w:r>
              <w:rPr>
                <w:color w:val="222B33"/>
                <w:sz w:val="18"/>
              </w:rPr>
            </w:r>
            <w:r>
              <w:rPr>
                <w:color w:val="222B33"/>
                <w:sz w:val="18"/>
              </w:rPr>
              <w:t>LinkedIn</w:t>
            </w:r>
          </w:p>
        </w:tc>
        <w:tc>
          <w:tcPr>
            <w:tcW w:type="dxa" w:w="1569"/>
            <w:shd w:val="clear" w:color="auto" w:fill="EAF6F5"/>
          </w:tcPr>
          <w:p>
            <w:r>
              <w:rPr>
                <w:color w:val="222B33"/>
                <w:sz w:val="18"/>
              </w:rPr>
            </w:r>
            <w:r>
              <w:rPr>
                <w:color w:val="222B33"/>
                <w:sz w:val="18"/>
              </w:rPr>
              <w:t>Founder</w:t>
            </w:r>
          </w:p>
        </w:tc>
        <w:tc>
          <w:tcPr>
            <w:tcW w:type="dxa" w:w="1569"/>
            <w:shd w:val="clear" w:color="auto" w:fill="EAF6F5"/>
          </w:tcPr>
          <w:p>
            <w:r>
              <w:rPr>
                <w:color w:val="222B33"/>
                <w:sz w:val="18"/>
              </w:rPr>
            </w:r>
            <w:r>
              <w:rPr>
                <w:color w:val="222B33"/>
                <w:sz w:val="18"/>
              </w:rPr>
              <w:t>Authentic brand voice; positioning narrative</w:t>
            </w:r>
          </w:p>
        </w:tc>
      </w:tr>
      <w:tr>
        <w:tc>
          <w:tcPr>
            <w:tcW w:type="dxa" w:w="1569"/>
          </w:tcPr>
          <w:p>
            <w:r>
              <w:rPr>
                <w:color w:val="222B33"/>
                <w:sz w:val="18"/>
              </w:rPr>
            </w:r>
            <w:r>
              <w:rPr>
                <w:color w:val="222B33"/>
                <w:sz w:val="18"/>
              </w:rPr>
              <w:t>5</w:t>
            </w:r>
          </w:p>
        </w:tc>
        <w:tc>
          <w:tcPr>
            <w:tcW w:type="dxa" w:w="1569"/>
          </w:tcPr>
          <w:p>
            <w:r>
              <w:rPr>
                <w:color w:val="222B33"/>
                <w:sz w:val="18"/>
              </w:rPr>
            </w:r>
            <w:r>
              <w:rPr>
                <w:color w:val="222B33"/>
                <w:sz w:val="18"/>
              </w:rPr>
              <w:t>Gated guide</w:t>
            </w:r>
          </w:p>
        </w:tc>
        <w:tc>
          <w:tcPr>
            <w:tcW w:type="dxa" w:w="1569"/>
          </w:tcPr>
          <w:p>
            <w:r>
              <w:rPr>
                <w:color w:val="222B33"/>
                <w:sz w:val="18"/>
              </w:rPr>
            </w:r>
            <w:r>
              <w:rPr>
                <w:color w:val="222B33"/>
                <w:sz w:val="18"/>
              </w:rPr>
              <w:t>RBI Integrated Ombudsman Scheme readiness checklist</w:t>
            </w:r>
          </w:p>
        </w:tc>
        <w:tc>
          <w:tcPr>
            <w:tcW w:type="dxa" w:w="1569"/>
          </w:tcPr>
          <w:p>
            <w:r>
              <w:rPr>
                <w:color w:val="222B33"/>
                <w:sz w:val="18"/>
              </w:rPr>
            </w:r>
            <w:r>
              <w:rPr>
                <w:color w:val="222B33"/>
                <w:sz w:val="18"/>
              </w:rPr>
              <w:t>Blog + gated PDF</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BFSI lead gen; compliance-keyword SEO</w:t>
            </w:r>
          </w:p>
        </w:tc>
      </w:tr>
      <w:tr>
        <w:tc>
          <w:tcPr>
            <w:tcW w:type="dxa" w:w="1569"/>
            <w:shd w:val="clear" w:color="auto" w:fill="EAF6F5"/>
          </w:tcPr>
          <w:p>
            <w:r>
              <w:rPr>
                <w:color w:val="222B33"/>
                <w:sz w:val="18"/>
              </w:rPr>
            </w:r>
            <w:r>
              <w:rPr>
                <w:color w:val="222B33"/>
                <w:sz w:val="18"/>
              </w:rPr>
              <w:t>6</w:t>
            </w:r>
          </w:p>
        </w:tc>
        <w:tc>
          <w:tcPr>
            <w:tcW w:type="dxa" w:w="1569"/>
            <w:shd w:val="clear" w:color="auto" w:fill="EAF6F5"/>
          </w:tcPr>
          <w:p>
            <w:r>
              <w:rPr>
                <w:color w:val="222B33"/>
                <w:sz w:val="18"/>
              </w:rPr>
            </w:r>
            <w:r>
              <w:rPr>
                <w:color w:val="222B33"/>
                <w:sz w:val="18"/>
              </w:rPr>
              <w:t>Demo video</w:t>
            </w:r>
          </w:p>
        </w:tc>
        <w:tc>
          <w:tcPr>
            <w:tcW w:type="dxa" w:w="1569"/>
            <w:shd w:val="clear" w:color="auto" w:fill="EAF6F5"/>
          </w:tcPr>
          <w:p>
            <w:r>
              <w:rPr>
                <w:color w:val="222B33"/>
                <w:sz w:val="18"/>
              </w:rPr>
            </w:r>
            <w:r>
              <w:rPr>
                <w:color w:val="222B33"/>
                <w:sz w:val="18"/>
              </w:rPr>
              <w:t>WhatsApp-first grievance flow — 3-min walkthrough</w:t>
            </w:r>
          </w:p>
        </w:tc>
        <w:tc>
          <w:tcPr>
            <w:tcW w:type="dxa" w:w="1569"/>
            <w:shd w:val="clear" w:color="auto" w:fill="EAF6F5"/>
          </w:tcPr>
          <w:p>
            <w:r>
              <w:rPr>
                <w:color w:val="222B33"/>
                <w:sz w:val="18"/>
              </w:rPr>
            </w:r>
            <w:r>
              <w:rPr>
                <w:color w:val="222B33"/>
                <w:sz w:val="18"/>
              </w:rPr>
              <w:t>YouTube + LinkedIn</w:t>
            </w:r>
          </w:p>
        </w:tc>
        <w:tc>
          <w:tcPr>
            <w:tcW w:type="dxa" w:w="1569"/>
            <w:shd w:val="clear" w:color="auto" w:fill="EAF6F5"/>
          </w:tcPr>
          <w:p>
            <w:r>
              <w:rPr>
                <w:color w:val="222B33"/>
                <w:sz w:val="18"/>
              </w:rPr>
            </w:r>
            <w:r>
              <w:rPr>
                <w:color w:val="222B33"/>
                <w:sz w:val="18"/>
              </w:rPr>
              <w:t>Product co-founder</w:t>
            </w:r>
          </w:p>
        </w:tc>
        <w:tc>
          <w:tcPr>
            <w:tcW w:type="dxa" w:w="1569"/>
            <w:shd w:val="clear" w:color="auto" w:fill="EAF6F5"/>
          </w:tcPr>
          <w:p>
            <w:r>
              <w:rPr>
                <w:color w:val="222B33"/>
                <w:sz w:val="18"/>
              </w:rPr>
            </w:r>
            <w:r>
              <w:rPr>
                <w:color w:val="222B33"/>
                <w:sz w:val="18"/>
              </w:rPr>
              <w:t>Sales-enablement asset; organic video search</w:t>
            </w:r>
          </w:p>
        </w:tc>
      </w:tr>
      <w:tr>
        <w:tc>
          <w:tcPr>
            <w:tcW w:type="dxa" w:w="1569"/>
          </w:tcPr>
          <w:p>
            <w:r>
              <w:rPr>
                <w:color w:val="222B33"/>
                <w:sz w:val="18"/>
              </w:rPr>
            </w:r>
            <w:r>
              <w:rPr>
                <w:color w:val="222B33"/>
                <w:sz w:val="18"/>
              </w:rPr>
              <w:t>7</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Why India's AI Mission budget jump matters for grievance redressal</w:t>
            </w:r>
          </w:p>
        </w:tc>
        <w:tc>
          <w:tcPr>
            <w:tcW w:type="dxa" w:w="1569"/>
          </w:tcPr>
          <w:p>
            <w:r>
              <w:rPr>
                <w:color w:val="222B33"/>
                <w:sz w:val="18"/>
              </w:rPr>
            </w:r>
            <w:r>
              <w:rPr>
                <w:color w:val="222B33"/>
                <w:sz w:val="18"/>
              </w:rPr>
              <w:t>Blog + LinkedIn</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Thought leadership; timely news-hook SEO</w:t>
            </w:r>
          </w:p>
        </w:tc>
      </w:tr>
      <w:tr>
        <w:tc>
          <w:tcPr>
            <w:tcW w:type="dxa" w:w="1569"/>
            <w:shd w:val="clear" w:color="auto" w:fill="EAF6F5"/>
          </w:tcPr>
          <w:p>
            <w:r>
              <w:rPr>
                <w:color w:val="222B33"/>
                <w:sz w:val="18"/>
              </w:rPr>
            </w:r>
            <w:r>
              <w:rPr>
                <w:color w:val="222B33"/>
                <w:sz w:val="18"/>
              </w:rPr>
              <w:t>8</w:t>
            </w:r>
          </w:p>
        </w:tc>
        <w:tc>
          <w:tcPr>
            <w:tcW w:type="dxa" w:w="1569"/>
            <w:shd w:val="clear" w:color="auto" w:fill="EAF6F5"/>
          </w:tcPr>
          <w:p>
            <w:r>
              <w:rPr>
                <w:color w:val="222B33"/>
                <w:sz w:val="18"/>
              </w:rPr>
            </w:r>
            <w:r>
              <w:rPr>
                <w:color w:val="222B33"/>
                <w:sz w:val="18"/>
              </w:rPr>
              <w:t>Webinar 1</w:t>
            </w:r>
          </w:p>
        </w:tc>
        <w:tc>
          <w:tcPr>
            <w:tcW w:type="dxa" w:w="1569"/>
            <w:shd w:val="clear" w:color="auto" w:fill="EAF6F5"/>
          </w:tcPr>
          <w:p>
            <w:r>
              <w:rPr>
                <w:color w:val="222B33"/>
                <w:sz w:val="18"/>
              </w:rPr>
            </w:r>
            <w:r>
              <w:rPr>
                <w:color w:val="222B33"/>
                <w:sz w:val="18"/>
              </w:rPr>
              <w:t>"From CPGRAMS to AI-native Triage" (retired IAS officer/e-gov consultant guest)</w:t>
            </w:r>
          </w:p>
        </w:tc>
        <w:tc>
          <w:tcPr>
            <w:tcW w:type="dxa" w:w="1569"/>
            <w:shd w:val="clear" w:color="auto" w:fill="EAF6F5"/>
          </w:tcPr>
          <w:p>
            <w:r>
              <w:rPr>
                <w:color w:val="222B33"/>
                <w:sz w:val="18"/>
              </w:rPr>
            </w:r>
            <w:r>
              <w:rPr>
                <w:color w:val="222B33"/>
                <w:sz w:val="18"/>
              </w:rPr>
              <w:t>LinkedIn Live/Zoom</w:t>
            </w:r>
          </w:p>
        </w:tc>
        <w:tc>
          <w:tcPr>
            <w:tcW w:type="dxa" w:w="1569"/>
            <w:shd w:val="clear" w:color="auto" w:fill="EAF6F5"/>
          </w:tcPr>
          <w:p>
            <w:r>
              <w:rPr>
                <w:color w:val="222B33"/>
                <w:sz w:val="18"/>
              </w:rPr>
            </w:r>
            <w:r>
              <w:rPr>
                <w:color w:val="222B33"/>
                <w:sz w:val="18"/>
              </w:rPr>
              <w:t>Founder + guest</w:t>
            </w:r>
          </w:p>
        </w:tc>
        <w:tc>
          <w:tcPr>
            <w:tcW w:type="dxa" w:w="1569"/>
            <w:shd w:val="clear" w:color="auto" w:fill="EAF6F5"/>
          </w:tcPr>
          <w:p>
            <w:r>
              <w:rPr>
                <w:color w:val="222B33"/>
                <w:sz w:val="18"/>
              </w:rPr>
            </w:r>
            <w:r>
              <w:rPr>
                <w:color w:val="222B33"/>
                <w:sz w:val="18"/>
              </w:rPr>
              <w:t>Pipeline + credibility via guest halo effect</w:t>
            </w:r>
          </w:p>
        </w:tc>
      </w:tr>
      <w:tr>
        <w:tc>
          <w:tcPr>
            <w:tcW w:type="dxa" w:w="1569"/>
          </w:tcPr>
          <w:p>
            <w:r>
              <w:rPr>
                <w:color w:val="222B33"/>
                <w:sz w:val="18"/>
              </w:rPr>
            </w:r>
            <w:r>
              <w:rPr>
                <w:color w:val="222B33"/>
                <w:sz w:val="18"/>
              </w:rPr>
              <w:t>9</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CPGRAMS vs. AI-native triage — a TAT cost comparison</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Government-keyword SEO</w:t>
            </w:r>
          </w:p>
        </w:tc>
      </w:tr>
      <w:tr>
        <w:tc>
          <w:tcPr>
            <w:tcW w:type="dxa" w:w="1569"/>
            <w:shd w:val="clear" w:color="auto" w:fill="EAF6F5"/>
          </w:tcPr>
          <w:p>
            <w:r>
              <w:rPr>
                <w:color w:val="222B33"/>
                <w:sz w:val="18"/>
              </w:rPr>
            </w:r>
            <w:r>
              <w:rPr>
                <w:color w:val="222B33"/>
                <w:sz w:val="18"/>
              </w:rPr>
              <w:t>10</w:t>
            </w:r>
          </w:p>
        </w:tc>
        <w:tc>
          <w:tcPr>
            <w:tcW w:type="dxa" w:w="1569"/>
            <w:shd w:val="clear" w:color="auto" w:fill="EAF6F5"/>
          </w:tcPr>
          <w:p>
            <w:r>
              <w:rPr>
                <w:color w:val="222B33"/>
                <w:sz w:val="18"/>
              </w:rPr>
            </w:r>
            <w:r>
              <w:rPr>
                <w:color w:val="222B33"/>
                <w:sz w:val="18"/>
              </w:rPr>
              <w:t>LinkedIn teaser</w:t>
            </w:r>
          </w:p>
        </w:tc>
        <w:tc>
          <w:tcPr>
            <w:tcW w:type="dxa" w:w="1569"/>
            <w:shd w:val="clear" w:color="auto" w:fill="EAF6F5"/>
          </w:tcPr>
          <w:p>
            <w:r>
              <w:rPr>
                <w:color w:val="222B33"/>
                <w:sz w:val="18"/>
              </w:rPr>
            </w:r>
            <w:r>
              <w:rPr>
                <w:color w:val="222B33"/>
                <w:sz w:val="18"/>
              </w:rPr>
              <w:t>Early data teaser from the benchmark survey</w:t>
            </w:r>
          </w:p>
        </w:tc>
        <w:tc>
          <w:tcPr>
            <w:tcW w:type="dxa" w:w="1569"/>
            <w:shd w:val="clear" w:color="auto" w:fill="EAF6F5"/>
          </w:tcPr>
          <w:p>
            <w:r>
              <w:rPr>
                <w:color w:val="222B33"/>
                <w:sz w:val="18"/>
              </w:rPr>
            </w:r>
            <w:r>
              <w:rPr>
                <w:color w:val="222B33"/>
                <w:sz w:val="18"/>
              </w:rPr>
              <w:t>LinkedIn</w:t>
            </w:r>
          </w:p>
        </w:tc>
        <w:tc>
          <w:tcPr>
            <w:tcW w:type="dxa" w:w="1569"/>
            <w:shd w:val="clear" w:color="auto" w:fill="EAF6F5"/>
          </w:tcPr>
          <w:p>
            <w:r>
              <w:rPr>
                <w:color w:val="222B33"/>
                <w:sz w:val="18"/>
              </w:rPr>
            </w:r>
            <w:r>
              <w:rPr>
                <w:color w:val="222B33"/>
                <w:sz w:val="18"/>
              </w:rPr>
              <w:t>Founder</w:t>
            </w:r>
          </w:p>
        </w:tc>
        <w:tc>
          <w:tcPr>
            <w:tcW w:type="dxa" w:w="1569"/>
            <w:shd w:val="clear" w:color="auto" w:fill="EAF6F5"/>
          </w:tcPr>
          <w:p>
            <w:r>
              <w:rPr>
                <w:color w:val="222B33"/>
                <w:sz w:val="18"/>
              </w:rPr>
            </w:r>
            <w:r>
              <w:rPr>
                <w:color w:val="222B33"/>
                <w:sz w:val="18"/>
              </w:rPr>
              <w:t>Build anticipation for Q2 flagship report</w:t>
            </w:r>
          </w:p>
        </w:tc>
      </w:tr>
      <w:tr>
        <w:tc>
          <w:tcPr>
            <w:tcW w:type="dxa" w:w="1569"/>
          </w:tcPr>
          <w:p>
            <w:r>
              <w:rPr>
                <w:color w:val="222B33"/>
                <w:sz w:val="18"/>
              </w:rPr>
            </w:r>
            <w:r>
              <w:rPr>
                <w:color w:val="222B33"/>
                <w:sz w:val="18"/>
              </w:rPr>
              <w:t>11</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 xml:space="preserve">RBI CMS filing — a step-by-step compliance workflow for NBFCs/SFBs </w:t>
            </w:r>
            <w:r>
              <w:rPr>
                <w:i/>
                <w:color w:val="222B33"/>
                <w:sz w:val="18"/>
              </w:rPr>
              <w:t>(adjudicated replacement — see Process Notes; the original Healthcare/NABH topic is deferred to late Y1/early Y2)</w:t>
            </w:r>
          </w:p>
        </w:tc>
        <w:tc>
          <w:tcPr>
            <w:tcW w:type="dxa" w:w="1569"/>
          </w:tcPr>
          <w:p>
            <w:r>
              <w:rPr>
                <w:color w:val="222B33"/>
                <w:sz w:val="18"/>
              </w:rPr>
            </w:r>
            <w:r>
              <w:rPr>
                <w:color w:val="222B33"/>
                <w:sz w:val="18"/>
              </w:rPr>
              <w:t>Blog</w:t>
            </w:r>
          </w:p>
        </w:tc>
        <w:tc>
          <w:tcPr>
            <w:tcW w:type="dxa" w:w="1569"/>
          </w:tcPr>
          <w:p>
            <w:r>
              <w:rPr>
                <w:color w:val="222B33"/>
                <w:sz w:val="18"/>
              </w:rPr>
            </w:r>
            <w:r>
              <w:rPr>
                <w:color w:val="222B33"/>
                <w:sz w:val="18"/>
              </w:rPr>
              <w:t>Founder</w:t>
            </w:r>
          </w:p>
        </w:tc>
        <w:tc>
          <w:tcPr>
            <w:tcW w:type="dxa" w:w="1569"/>
          </w:tcPr>
          <w:p>
            <w:r>
              <w:rPr>
                <w:color w:val="222B33"/>
                <w:sz w:val="18"/>
              </w:rPr>
            </w:r>
            <w:r>
              <w:rPr>
                <w:color w:val="222B33"/>
                <w:sz w:val="18"/>
              </w:rPr>
              <w:t>BFSI-keyword SEO; reinforces the Govt/BFSI-only Y1 focus</w:t>
            </w:r>
          </w:p>
        </w:tc>
      </w:tr>
      <w:tr>
        <w:tc>
          <w:tcPr>
            <w:tcW w:type="dxa" w:w="1569"/>
            <w:shd w:val="clear" w:color="auto" w:fill="EAF6F5"/>
          </w:tcPr>
          <w:p>
            <w:r>
              <w:rPr>
                <w:color w:val="222B33"/>
                <w:sz w:val="18"/>
              </w:rPr>
            </w:r>
            <w:r>
              <w:rPr>
                <w:color w:val="222B33"/>
                <w:sz w:val="18"/>
              </w:rPr>
              <w:t>12</w:t>
            </w:r>
          </w:p>
        </w:tc>
        <w:tc>
          <w:tcPr>
            <w:tcW w:type="dxa" w:w="1569"/>
            <w:shd w:val="clear" w:color="auto" w:fill="EAF6F5"/>
          </w:tcPr>
          <w:p>
            <w:r>
              <w:rPr>
                <w:color w:val="222B33"/>
                <w:sz w:val="18"/>
              </w:rPr>
            </w:r>
            <w:r>
              <w:rPr>
                <w:color w:val="222B33"/>
                <w:sz w:val="18"/>
              </w:rPr>
              <w:t>Recap + close-out</w:t>
            </w:r>
          </w:p>
        </w:tc>
        <w:tc>
          <w:tcPr>
            <w:tcW w:type="dxa" w:w="1569"/>
            <w:shd w:val="clear" w:color="auto" w:fill="EAF6F5"/>
          </w:tcPr>
          <w:p>
            <w:r>
              <w:rPr>
                <w:color w:val="222B33"/>
                <w:sz w:val="18"/>
              </w:rPr>
            </w:r>
            <w:r>
              <w:rPr>
                <w:color w:val="222B33"/>
                <w:sz w:val="18"/>
              </w:rPr>
              <w:t>Q1 recap + survey closes + Q2 report announced</w:t>
            </w:r>
          </w:p>
        </w:tc>
        <w:tc>
          <w:tcPr>
            <w:tcW w:type="dxa" w:w="1569"/>
            <w:shd w:val="clear" w:color="auto" w:fill="EAF6F5"/>
          </w:tcPr>
          <w:p>
            <w:r>
              <w:rPr>
                <w:color w:val="222B33"/>
                <w:sz w:val="18"/>
              </w:rPr>
            </w:r>
            <w:r>
              <w:rPr>
                <w:color w:val="222B33"/>
                <w:sz w:val="18"/>
              </w:rPr>
              <w:t>Blog + LinkedIn</w:t>
            </w:r>
          </w:p>
        </w:tc>
        <w:tc>
          <w:tcPr>
            <w:tcW w:type="dxa" w:w="1569"/>
            <w:shd w:val="clear" w:color="auto" w:fill="EAF6F5"/>
          </w:tcPr>
          <w:p>
            <w:r>
              <w:rPr>
                <w:color w:val="222B33"/>
                <w:sz w:val="18"/>
              </w:rPr>
            </w:r>
            <w:r>
              <w:rPr>
                <w:color w:val="222B33"/>
                <w:sz w:val="18"/>
              </w:rPr>
              <w:t>Founder</w:t>
            </w:r>
          </w:p>
        </w:tc>
        <w:tc>
          <w:tcPr>
            <w:tcW w:type="dxa" w:w="1569"/>
            <w:shd w:val="clear" w:color="auto" w:fill="EAF6F5"/>
          </w:tcPr>
          <w:p>
            <w:r>
              <w:rPr>
                <w:color w:val="222B33"/>
                <w:sz w:val="18"/>
              </w:rPr>
            </w:r>
            <w:r>
              <w:rPr>
                <w:color w:val="222B33"/>
                <w:sz w:val="18"/>
              </w:rPr>
              <w:t>Close survey loop; set up Q2 flagship asset</w:t>
            </w:r>
          </w:p>
        </w:tc>
      </w:tr>
    </w:tbl>
    <w:p/>
    <w:p>
      <w:r>
        <w:rPr>
          <w:b/>
          <w:color w:val="222B33"/>
          <w:sz w:val="21"/>
        </w:rPr>
        <w:t>Q2 themes:</w:t>
      </w:r>
      <w:r>
        <w:rPr>
          <w:color w:val="222B33"/>
          <w:sz w:val="21"/>
        </w:rPr>
        <w:t xml:space="preserve"> Launch full benchmark report as gated flagship asset; Webinar 2 (RBI Ombudsman focus, BFSI compliance consultant guest); fast-track first real case study within 60-90 days if Phase 1 milestone is hit near Month 6; begin TN local-SEO city content.</w:t>
      </w:r>
    </w:p>
    <w:p>
      <w:r>
        <w:rPr>
          <w:b/>
          <w:color w:val="222B33"/>
          <w:sz w:val="21"/>
        </w:rPr>
        <w:t>Q3 themes:</w:t>
      </w:r>
      <w:r>
        <w:rPr>
          <w:color w:val="222B33"/>
          <w:sz w:val="21"/>
        </w:rPr>
        <w:t xml:space="preserve"> Content localisation for Karnataka/Maharashtra/Gujarat expansion; publish IIT Pravartak capstone findings as research-credibility piece; publish first real case study (or transparent "pilot in progress" post if timing slips); second flagship compliance guide.</w:t>
      </w:r>
    </w:p>
    <w:p>
      <w:r>
        <w:rPr>
          <w:b/>
          <w:color w:val="222B33"/>
          <w:sz w:val="21"/>
        </w:rPr>
        <w:t>Q4 themes:</w:t>
      </w:r>
      <w:r>
        <w:rPr>
          <w:color w:val="222B33"/>
          <w:sz w:val="21"/>
        </w:rPr>
        <w:t xml:space="preserve"> Consolidate proof points (second/third case study if available); year-end benchmark report refresh; </w:t>
      </w:r>
      <w:r>
        <w:rPr>
          <w:b/>
          <w:color w:val="222B33"/>
          <w:sz w:val="21"/>
        </w:rPr>
        <w:t>one bounded NABH/healthcare piece (capped at 1-2 total before Phase 3 begins, no gated asset, no CTA), positioned explicitly as "Phase 3 lead-time SEO"</w:t>
      </w:r>
      <w:r>
        <w:rPr>
          <w:color w:val="222B33"/>
          <w:sz w:val="21"/>
        </w:rPr>
        <w:t xml:space="preserve"> — timed so it has 6-9 months to compound before Healthcare activates in Phase 3, rather than sitting idle for 16+ months as an early Q1 placement would have; assess Hindi-content readiness strictly against the Month 9 gate before any bilingual commitment.</w:t>
      </w:r>
    </w:p>
    <w:p>
      <w:pPr>
        <w:spacing w:before="320" w:after="160"/>
        <w:pStyle w:val="Heading2"/>
        <w:keepNext/>
        <w:pBdr>
          <w:bottom w:val="single" w:sz="6" w:space="4" w:color="B7E4E0"/>
        </w:pBdr>
      </w:pPr>
      <w:r>
        <w:rPr>
          <w:rFonts w:ascii="Calibri" w:hAnsi="Calibri"/>
          <w:b/>
          <w:color w:val="028090"/>
          <w:sz w:val="30"/>
        </w:rPr>
        <w:t>3.7 Webinar &amp; Events Content Plan</w:t>
      </w:r>
    </w:p>
    <w:p>
      <w:r>
        <w:rPr>
          <w:b/>
          <w:color w:val="222B33"/>
          <w:sz w:val="21"/>
        </w:rPr>
        <w:t>Webinar 1 (Q1):</w:t>
      </w:r>
      <w:r>
        <w:rPr>
          <w:color w:val="222B33"/>
          <w:sz w:val="21"/>
        </w:rPr>
        <w:t xml:space="preserve"> "From CPGRAMS to AI-native Triage: What Government Grievance Systems Need Next" — guest: retired IAS officer (e-governance/power-sector background) or state e-gov consultant.</w:t>
      </w:r>
    </w:p>
    <w:p>
      <w:r>
        <w:rPr>
          <w:b/>
          <w:color w:val="222B33"/>
          <w:sz w:val="21"/>
        </w:rPr>
        <w:t>Webinar 2 (Q2):</w:t>
      </w:r>
      <w:r>
        <w:rPr>
          <w:color w:val="222B33"/>
          <w:sz w:val="21"/>
        </w:rPr>
        <w:t xml:space="preserve"> "RBI Integrated Ombudsman Scheme, One Year In: Are NBFCs and Cooperative Banks Ready?" — guest: BFSI compliance consultant or NBFC/cooperative-bank industry association representative.</w:t>
      </w:r>
    </w:p>
    <w:p>
      <w:r>
        <w:rPr>
          <w:b/>
          <w:color w:val="222B33"/>
          <w:sz w:val="21"/>
        </w:rPr>
        <w:t>In-person event (H1):</w:t>
      </w:r>
      <w:r>
        <w:rPr>
          <w:color w:val="222B33"/>
          <w:sz w:val="21"/>
        </w:rPr>
        <w:t xml:space="preserve"> A discom/utility-sector conference aligned with the Phase 1 beachhead (e.g., a power/utility digital-transformation conclave, or a TN-specific e-governance conclave) — aim for a speaking slot or small booth, not a full sponsorship. </w:t>
      </w:r>
      <w:r>
        <w:rPr>
          <w:i/>
          <w:color w:val="222B33"/>
          <w:sz w:val="21"/>
        </w:rPr>
        <w:t>(This is distinct from, and complementary to, the self-hosted Chennai workshop recommended in Section 6.3 — one is external convening to attend, the other is UniServe's own flagship event.)</w:t>
      </w:r>
    </w:p>
    <w:p>
      <w:r>
        <w:rPr>
          <w:b/>
          <w:color w:val="222B33"/>
          <w:sz w:val="21"/>
        </w:rPr>
        <w:t>LinkedIn Live suitability:</w:t>
      </w:r>
      <w:r>
        <w:rPr>
          <w:color w:val="222B33"/>
          <w:sz w:val="21"/>
        </w:rPr>
        <w:t xml:space="preserve"> Well-suited overall (near-zero production cost, professionally-active audience) but expect modest live attendance from govt buyers specifically — plan every webinar to be recorded and repurposed as an evergreen gated asset rather than judging success by live viewership. For BFSI-focused sessions where gated registration matters more, a promoted Zoom webinar may capture leads more reliably than LinkedIn Live's native attendee list.</w:t>
      </w:r>
    </w:p>
    <w:p>
      <w:pPr>
        <w:spacing w:before="320" w:after="160"/>
        <w:pStyle w:val="Heading1"/>
        <w:keepNext/>
        <w:pBdr>
          <w:bottom w:val="single" w:sz="14" w:space="4" w:color="028090"/>
        </w:pBdr>
      </w:pPr>
      <w:r>
        <w:rPr>
          <w:rFonts w:ascii="Calibri" w:hAnsi="Calibri"/>
          <w:b/>
          <w:color w:val="0D1B2A"/>
          <w:sz w:val="40"/>
        </w:rPr>
        <w:t>4. Sales Enablement</w:t>
      </w:r>
    </w:p>
    <w:p>
      <w:pPr>
        <w:spacing w:before="320" w:after="160"/>
        <w:pStyle w:val="Heading2"/>
        <w:keepNext/>
        <w:pBdr>
          <w:bottom w:val="single" w:sz="6" w:space="4" w:color="B7E4E0"/>
        </w:pBdr>
      </w:pPr>
      <w:r>
        <w:rPr>
          <w:rFonts w:ascii="Calibri" w:hAnsi="Calibri"/>
          <w:b/>
          <w:color w:val="028090"/>
          <w:sz w:val="30"/>
        </w:rPr>
        <w:t>4.1 Sales Pitch Narrative (60-second)</w:t>
      </w:r>
    </w:p>
    <w:p>
      <w:r>
        <w:rPr>
          <w:color w:val="222B33"/>
          <w:sz w:val="21"/>
        </w:rPr>
        <w:t>"When our founding team spent time inside a Tamil Nadu electricity board's customer-care and social-media desk, we watched a single complaint get logged four different ways — an IVR ticket, a handwritten register entry, a WhatsApp screenshot forwarded by a field officer, and a tweet escalated through an MLA's office — with nothing tying them together, and no way to produce a CGRF-compliant report except by hand in Excel over a week. That's the pattern UniServe was built to fix. It's an AI-native complaint platform: it reads every WhatsApp message and email, automatically confirms who the citizen is, classifies and prioritises the complaint, and — this is the part that actually saves your team time — spots when the same fault is being reported five different ways so you're not chasing five tickets for one outage. We're not trying to out-Freshdesk Freshdesk or Zoho — those are good general-purpose helpdesks, but they weren't built for SERC/CGRF reporting, they don't run on-prem the way PSU data-localisation policy usually requires, and they don't ship utility-tuned workflows out of the box; we do, because we built this watching your actual desk, not a generic ticket queue. I'm not asking for a signature today — I'd like to run an 8-to-12-week paid pilot, scoped to one circle and a handful of agents, priced low enough to approve at your own desk, with success criteria we write down together before we start. Can I get 30 minutes with your IT and grievance team next week to scope that?"</w:t>
      </w:r>
    </w:p>
    <w:p>
      <w:r>
        <w:rPr>
          <w:i/>
          <w:color w:val="222B33"/>
          <w:sz w:val="21"/>
        </w:rPr>
        <w:t>Register adaptation: formal govt meeting — deliver in full, keep "SERC/CGRF," "data-localisation," "PSU IT policy" vocabulary. Casual private-sector setting — swap "citizen"→"customer," "CGRF-compliant report"→"compliance report," drop circle/MLA specificity, replace with "RBI Ombudsman categories." Neither version ever offers a free trial — the ask is always a scoped paid pilot or a demo.</w:t>
      </w:r>
    </w:p>
    <w:p>
      <w:r>
        <w:rPr>
          <w:b/>
          <w:color w:val="222B33"/>
          <w:sz w:val="21"/>
        </w:rPr>
        <w:t>10-second elevator pitch:</w:t>
      </w:r>
      <w:r>
        <w:rPr>
          <w:color w:val="222B33"/>
          <w:sz w:val="21"/>
        </w:rPr>
        <w:t xml:space="preserve"> "UniServe is an AI helpdesk built for government utilities and regulated businesses — it reads WhatsApp and email, auto-verifies the citizen, dedupes and prioritises complaints, and runs on-prem if your IT needs that. Think Freshdesk, but built for CGRF and RBI compliance from day one."</w:t>
      </w:r>
    </w:p>
    <w:p>
      <w:pPr>
        <w:spacing w:before="320" w:after="160"/>
        <w:pStyle w:val="Heading2"/>
        <w:keepNext/>
        <w:pBdr>
          <w:bottom w:val="single" w:sz="6" w:space="4" w:color="B7E4E0"/>
        </w:pBdr>
      </w:pPr>
      <w:r>
        <w:rPr>
          <w:rFonts w:ascii="Calibri" w:hAnsi="Calibri"/>
          <w:b/>
          <w:color w:val="028090"/>
          <w:sz w:val="30"/>
        </w:rPr>
        <w:t>4.2 Pitch Deck Outline (10 slides, 30-min meeting)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0D1B2A"/>
          </w:tcPr>
          <w:p>
            <w:r>
              <w:rPr>
                <w:b/>
                <w:color w:val="FFFFFF"/>
                <w:sz w:val="19"/>
              </w:rPr>
            </w:r>
            <w:r>
              <w:rPr>
                <w:b/>
                <w:color w:val="FFFFFF"/>
                <w:sz w:val="19"/>
              </w:rPr>
              <w:t>#</w:t>
            </w:r>
          </w:p>
        </w:tc>
        <w:tc>
          <w:tcPr>
            <w:tcW w:type="dxa" w:w="1882"/>
            <w:shd w:val="clear" w:color="auto" w:fill="0D1B2A"/>
          </w:tcPr>
          <w:p>
            <w:r>
              <w:rPr>
                <w:b/>
                <w:color w:val="FFFFFF"/>
                <w:sz w:val="19"/>
              </w:rPr>
            </w:r>
            <w:r>
              <w:rPr>
                <w:b/>
                <w:color w:val="FFFFFF"/>
                <w:sz w:val="19"/>
              </w:rPr>
              <w:t>Slide</w:t>
            </w:r>
          </w:p>
        </w:tc>
        <w:tc>
          <w:tcPr>
            <w:tcW w:type="dxa" w:w="1882"/>
            <w:shd w:val="clear" w:color="auto" w:fill="0D1B2A"/>
          </w:tcPr>
          <w:p>
            <w:r>
              <w:rPr>
                <w:b/>
                <w:color w:val="FFFFFF"/>
                <w:sz w:val="19"/>
              </w:rPr>
            </w:r>
            <w:r>
              <w:rPr>
                <w:b/>
                <w:color w:val="FFFFFF"/>
                <w:sz w:val="19"/>
              </w:rPr>
              <w:t>Content</w:t>
            </w:r>
          </w:p>
        </w:tc>
        <w:tc>
          <w:tcPr>
            <w:tcW w:type="dxa" w:w="1882"/>
            <w:shd w:val="clear" w:color="auto" w:fill="0D1B2A"/>
          </w:tcPr>
          <w:p>
            <w:r>
              <w:rPr>
                <w:b/>
                <w:color w:val="FFFFFF"/>
                <w:sz w:val="19"/>
              </w:rPr>
            </w:r>
            <w:r>
              <w:rPr>
                <w:b/>
                <w:color w:val="FFFFFF"/>
                <w:sz w:val="19"/>
              </w:rPr>
              <w:t>Purpose</w:t>
            </w:r>
          </w:p>
        </w:tc>
        <w:tc>
          <w:tcPr>
            <w:tcW w:type="dxa" w:w="1882"/>
            <w:shd w:val="clear" w:color="auto" w:fill="0D1B2A"/>
          </w:tcPr>
          <w:p>
            <w:r>
              <w:rPr>
                <w:b/>
                <w:color w:val="FFFFFF"/>
                <w:sz w:val="19"/>
              </w:rPr>
            </w:r>
            <w:r>
              <w:rPr>
                <w:b/>
                <w:color w:val="FFFFFF"/>
                <w:sz w:val="19"/>
              </w:rPr>
              <w:t>Time</w:t>
            </w:r>
          </w:p>
        </w:tc>
      </w:tr>
      <w:tr>
        <w:tc>
          <w:tcPr>
            <w:tcW w:type="dxa" w:w="1882"/>
          </w:tcPr>
          <w:p>
            <w:r>
              <w:rPr>
                <w:color w:val="222B33"/>
                <w:sz w:val="18"/>
              </w:rPr>
            </w:r>
            <w:r>
              <w:rPr>
                <w:color w:val="222B33"/>
                <w:sz w:val="18"/>
              </w:rPr>
              <w:t>1</w:t>
            </w:r>
          </w:p>
        </w:tc>
        <w:tc>
          <w:tcPr>
            <w:tcW w:type="dxa" w:w="1882"/>
          </w:tcPr>
          <w:p>
            <w:r>
              <w:rPr>
                <w:color w:val="222B33"/>
                <w:sz w:val="18"/>
              </w:rPr>
            </w:r>
            <w:r>
              <w:rPr>
                <w:color w:val="222B33"/>
                <w:sz w:val="18"/>
              </w:rPr>
              <w:t>Opening hook</w:t>
            </w:r>
          </w:p>
        </w:tc>
        <w:tc>
          <w:tcPr>
            <w:tcW w:type="dxa" w:w="1882"/>
          </w:tcPr>
          <w:p>
            <w:r>
              <w:rPr>
                <w:color w:val="222B33"/>
                <w:sz w:val="18"/>
              </w:rPr>
            </w:r>
            <w:r>
              <w:rPr>
                <w:color w:val="222B33"/>
                <w:sz w:val="18"/>
              </w:rPr>
              <w:t>"A single power outage complaint, logged 4 different ways, invisible to each other."</w:t>
            </w:r>
          </w:p>
        </w:tc>
        <w:tc>
          <w:tcPr>
            <w:tcW w:type="dxa" w:w="1882"/>
          </w:tcPr>
          <w:p>
            <w:r>
              <w:rPr>
                <w:color w:val="222B33"/>
                <w:sz w:val="18"/>
              </w:rPr>
            </w:r>
            <w:r>
              <w:rPr>
                <w:color w:val="222B33"/>
                <w:sz w:val="18"/>
              </w:rPr>
              <w:t>Immediate recognition</w:t>
            </w:r>
          </w:p>
        </w:tc>
        <w:tc>
          <w:tcPr>
            <w:tcW w:type="dxa" w:w="1882"/>
          </w:tcPr>
          <w:p>
            <w:r>
              <w:rPr>
                <w:color w:val="222B33"/>
                <w:sz w:val="18"/>
              </w:rPr>
            </w:r>
            <w:r>
              <w:rPr>
                <w:color w:val="222B33"/>
                <w:sz w:val="18"/>
              </w:rPr>
              <w:t>1 min</w:t>
            </w:r>
          </w:p>
        </w:tc>
      </w:tr>
      <w:tr>
        <w:tc>
          <w:tcPr>
            <w:tcW w:type="dxa" w:w="1882"/>
            <w:shd w:val="clear" w:color="auto" w:fill="EAF6F5"/>
          </w:tcPr>
          <w:p>
            <w:r>
              <w:rPr>
                <w:color w:val="222B33"/>
                <w:sz w:val="18"/>
              </w:rPr>
            </w:r>
            <w:r>
              <w:rPr>
                <w:color w:val="222B33"/>
                <w:sz w:val="18"/>
              </w:rPr>
              <w:t>2</w:t>
            </w:r>
          </w:p>
        </w:tc>
        <w:tc>
          <w:tcPr>
            <w:tcW w:type="dxa" w:w="1882"/>
            <w:shd w:val="clear" w:color="auto" w:fill="EAF6F5"/>
          </w:tcPr>
          <w:p>
            <w:r>
              <w:rPr>
                <w:color w:val="222B33"/>
                <w:sz w:val="18"/>
              </w:rPr>
            </w:r>
            <w:r>
              <w:rPr>
                <w:color w:val="222B33"/>
                <w:sz w:val="18"/>
              </w:rPr>
              <w:t>The problem</w:t>
            </w:r>
          </w:p>
        </w:tc>
        <w:tc>
          <w:tcPr>
            <w:tcW w:type="dxa" w:w="1882"/>
            <w:shd w:val="clear" w:color="auto" w:fill="EAF6F5"/>
          </w:tcPr>
          <w:p>
            <w:r>
              <w:rPr>
                <w:color w:val="222B33"/>
                <w:sz w:val="18"/>
              </w:rPr>
            </w:r>
            <w:r>
              <w:rPr>
                <w:color w:val="222B33"/>
                <w:sz w:val="18"/>
              </w:rPr>
              <w:t>6+ disconnected channels; no cross-channel dedup; CGRF/SLA reporting = manual Excel; viral-complaint risk before it's even logged</w:t>
            </w:r>
          </w:p>
        </w:tc>
        <w:tc>
          <w:tcPr>
            <w:tcW w:type="dxa" w:w="1882"/>
            <w:shd w:val="clear" w:color="auto" w:fill="EAF6F5"/>
          </w:tcPr>
          <w:p>
            <w:r>
              <w:rPr>
                <w:color w:val="222B33"/>
                <w:sz w:val="18"/>
              </w:rPr>
            </w:r>
            <w:r>
              <w:rPr>
                <w:color w:val="222B33"/>
                <w:sz w:val="18"/>
              </w:rPr>
              <w:t>Validate desk-level pain understanding</w:t>
            </w:r>
          </w:p>
        </w:tc>
        <w:tc>
          <w:tcPr>
            <w:tcW w:type="dxa" w:w="1882"/>
            <w:shd w:val="clear" w:color="auto" w:fill="EAF6F5"/>
          </w:tcPr>
          <w:p>
            <w:r>
              <w:rPr>
                <w:color w:val="222B33"/>
                <w:sz w:val="18"/>
              </w:rPr>
            </w:r>
            <w:r>
              <w:rPr>
                <w:color w:val="222B33"/>
                <w:sz w:val="18"/>
              </w:rPr>
              <w:t>3 min</w:t>
            </w:r>
          </w:p>
        </w:tc>
      </w:tr>
      <w:tr>
        <w:tc>
          <w:tcPr>
            <w:tcW w:type="dxa" w:w="1882"/>
          </w:tcPr>
          <w:p>
            <w:r>
              <w:rPr>
                <w:color w:val="222B33"/>
                <w:sz w:val="18"/>
              </w:rPr>
            </w:r>
            <w:r>
              <w:rPr>
                <w:color w:val="222B33"/>
                <w:sz w:val="18"/>
              </w:rPr>
              <w:t>3</w:t>
            </w:r>
          </w:p>
        </w:tc>
        <w:tc>
          <w:tcPr>
            <w:tcW w:type="dxa" w:w="1882"/>
          </w:tcPr>
          <w:p>
            <w:r>
              <w:rPr>
                <w:color w:val="222B33"/>
                <w:sz w:val="18"/>
              </w:rPr>
            </w:r>
            <w:r>
              <w:rPr>
                <w:color w:val="222B33"/>
                <w:sz w:val="18"/>
              </w:rPr>
              <w:t>Why now</w:t>
            </w:r>
          </w:p>
        </w:tc>
        <w:tc>
          <w:tcPr>
            <w:tcW w:type="dxa" w:w="1882"/>
          </w:tcPr>
          <w:p>
            <w:r>
              <w:rPr>
                <w:color w:val="222B33"/>
                <w:sz w:val="18"/>
              </w:rPr>
            </w:r>
            <w:r>
              <w:rPr>
                <w:color w:val="222B33"/>
                <w:sz w:val="18"/>
              </w:rPr>
              <w:t>SERC/CGRF TAT penalties tightening; RBI Ombudsman Scheme; DPDP raising data-handling scrutiny; social media turning any complaint into a reputational event in hours</w:t>
            </w:r>
          </w:p>
        </w:tc>
        <w:tc>
          <w:tcPr>
            <w:tcW w:type="dxa" w:w="1882"/>
          </w:tcPr>
          <w:p>
            <w:r>
              <w:rPr>
                <w:color w:val="222B33"/>
                <w:sz w:val="18"/>
              </w:rPr>
            </w:r>
            <w:r>
              <w:rPr>
                <w:color w:val="222B33"/>
                <w:sz w:val="18"/>
              </w:rPr>
              <w:t>Urgency</w:t>
            </w:r>
          </w:p>
        </w:tc>
        <w:tc>
          <w:tcPr>
            <w:tcW w:type="dxa" w:w="1882"/>
          </w:tcPr>
          <w:p>
            <w:r>
              <w:rPr>
                <w:color w:val="222B33"/>
                <w:sz w:val="18"/>
              </w:rPr>
            </w:r>
            <w:r>
              <w:rPr>
                <w:color w:val="222B33"/>
                <w:sz w:val="18"/>
              </w:rPr>
              <w:t>2 min</w:t>
            </w:r>
          </w:p>
        </w:tc>
      </w:tr>
      <w:tr>
        <w:tc>
          <w:tcPr>
            <w:tcW w:type="dxa" w:w="1882"/>
            <w:shd w:val="clear" w:color="auto" w:fill="EAF6F5"/>
          </w:tcPr>
          <w:p>
            <w:r>
              <w:rPr>
                <w:color w:val="222B33"/>
                <w:sz w:val="18"/>
              </w:rPr>
            </w:r>
            <w:r>
              <w:rPr>
                <w:color w:val="222B33"/>
                <w:sz w:val="18"/>
              </w:rPr>
              <w:t>4</w:t>
            </w:r>
          </w:p>
        </w:tc>
        <w:tc>
          <w:tcPr>
            <w:tcW w:type="dxa" w:w="1882"/>
            <w:shd w:val="clear" w:color="auto" w:fill="EAF6F5"/>
          </w:tcPr>
          <w:p>
            <w:r>
              <w:rPr>
                <w:color w:val="222B33"/>
                <w:sz w:val="18"/>
              </w:rPr>
            </w:r>
            <w:r>
              <w:rPr>
                <w:color w:val="222B33"/>
                <w:sz w:val="18"/>
              </w:rPr>
              <w:t>Our solution</w:t>
            </w:r>
          </w:p>
        </w:tc>
        <w:tc>
          <w:tcPr>
            <w:tcW w:type="dxa" w:w="1882"/>
            <w:shd w:val="clear" w:color="auto" w:fill="EAF6F5"/>
          </w:tcPr>
          <w:p>
            <w:r>
              <w:rPr>
                <w:color w:val="222B33"/>
                <w:sz w:val="18"/>
              </w:rPr>
            </w:r>
            <w:r>
              <w:rPr>
                <w:color w:val="222B33"/>
                <w:sz w:val="18"/>
              </w:rPr>
              <w:t>Multi-tenant AI complaint platform — Email+WhatsApp, AI identity confirmation, classification/prioritisation/dedup, role-based dashboard, real analytics, public status lookup</w:t>
            </w:r>
          </w:p>
        </w:tc>
        <w:tc>
          <w:tcPr>
            <w:tcW w:type="dxa" w:w="1882"/>
            <w:shd w:val="clear" w:color="auto" w:fill="EAF6F5"/>
          </w:tcPr>
          <w:p>
            <w:r>
              <w:rPr>
                <w:color w:val="222B33"/>
                <w:sz w:val="18"/>
              </w:rPr>
            </w:r>
            <w:r>
              <w:rPr>
                <w:color w:val="222B33"/>
                <w:sz w:val="18"/>
              </w:rPr>
              <w:t>Establish full-platform credibility</w:t>
            </w:r>
          </w:p>
        </w:tc>
        <w:tc>
          <w:tcPr>
            <w:tcW w:type="dxa" w:w="1882"/>
            <w:shd w:val="clear" w:color="auto" w:fill="EAF6F5"/>
          </w:tcPr>
          <w:p>
            <w:r>
              <w:rPr>
                <w:color w:val="222B33"/>
                <w:sz w:val="18"/>
              </w:rPr>
            </w:r>
            <w:r>
              <w:rPr>
                <w:color w:val="222B33"/>
                <w:sz w:val="18"/>
              </w:rPr>
              <w:t>3 min</w:t>
            </w:r>
          </w:p>
        </w:tc>
      </w:tr>
      <w:tr>
        <w:tc>
          <w:tcPr>
            <w:tcW w:type="dxa" w:w="1882"/>
          </w:tcPr>
          <w:p>
            <w:r>
              <w:rPr>
                <w:color w:val="222B33"/>
                <w:sz w:val="18"/>
              </w:rPr>
            </w:r>
            <w:r>
              <w:rPr>
                <w:color w:val="222B33"/>
                <w:sz w:val="18"/>
              </w:rPr>
              <w:t>5</w:t>
            </w:r>
          </w:p>
        </w:tc>
        <w:tc>
          <w:tcPr>
            <w:tcW w:type="dxa" w:w="1882"/>
          </w:tcPr>
          <w:p>
            <w:r>
              <w:rPr>
                <w:color w:val="222B33"/>
                <w:sz w:val="18"/>
              </w:rPr>
            </w:r>
            <w:r>
              <w:rPr>
                <w:color w:val="222B33"/>
                <w:sz w:val="18"/>
              </w:rPr>
              <w:t>How it works</w:t>
            </w:r>
          </w:p>
        </w:tc>
        <w:tc>
          <w:tcPr>
            <w:tcW w:type="dxa" w:w="1882"/>
          </w:tcPr>
          <w:p>
            <w:r>
              <w:rPr>
                <w:color w:val="222B33"/>
                <w:sz w:val="18"/>
              </w:rPr>
            </w:r>
            <w:r>
              <w:rPr>
                <w:color w:val="222B33"/>
                <w:sz w:val="18"/>
              </w:rPr>
              <w:t>WhatsApp message → AI confirms identity → ticket auto-created/prioritised → agent queue → admin SLA/audit visibility. Plain English, no architecture diagram</w:t>
            </w:r>
          </w:p>
        </w:tc>
        <w:tc>
          <w:tcPr>
            <w:tcW w:type="dxa" w:w="1882"/>
          </w:tcPr>
          <w:p>
            <w:r>
              <w:rPr>
                <w:color w:val="222B33"/>
                <w:sz w:val="18"/>
              </w:rPr>
            </w:r>
            <w:r>
              <w:rPr>
                <w:color w:val="222B33"/>
                <w:sz w:val="18"/>
              </w:rPr>
              <w:t>Comprehension</w:t>
            </w:r>
          </w:p>
        </w:tc>
        <w:tc>
          <w:tcPr>
            <w:tcW w:type="dxa" w:w="1882"/>
          </w:tcPr>
          <w:p>
            <w:r>
              <w:rPr>
                <w:color w:val="222B33"/>
                <w:sz w:val="18"/>
              </w:rPr>
            </w:r>
            <w:r>
              <w:rPr>
                <w:color w:val="222B33"/>
                <w:sz w:val="18"/>
              </w:rPr>
              <w:t>5 min</w:t>
            </w:r>
          </w:p>
        </w:tc>
      </w:tr>
      <w:tr>
        <w:tc>
          <w:tcPr>
            <w:tcW w:type="dxa" w:w="1882"/>
            <w:shd w:val="clear" w:color="auto" w:fill="EAF6F5"/>
          </w:tcPr>
          <w:p>
            <w:r>
              <w:rPr>
                <w:color w:val="222B33"/>
                <w:sz w:val="18"/>
              </w:rPr>
            </w:r>
            <w:r>
              <w:rPr>
                <w:color w:val="222B33"/>
                <w:sz w:val="18"/>
              </w:rPr>
              <w:t>6</w:t>
            </w:r>
          </w:p>
        </w:tc>
        <w:tc>
          <w:tcPr>
            <w:tcW w:type="dxa" w:w="1882"/>
            <w:shd w:val="clear" w:color="auto" w:fill="EAF6F5"/>
          </w:tcPr>
          <w:p>
            <w:r>
              <w:rPr>
                <w:color w:val="222B33"/>
                <w:sz w:val="18"/>
              </w:rPr>
            </w:r>
            <w:r>
              <w:rPr>
                <w:color w:val="222B33"/>
                <w:sz w:val="18"/>
              </w:rPr>
              <w:t>Differentiation</w:t>
            </w:r>
          </w:p>
        </w:tc>
        <w:tc>
          <w:tcPr>
            <w:tcW w:type="dxa" w:w="1882"/>
            <w:shd w:val="clear" w:color="auto" w:fill="EAF6F5"/>
          </w:tcPr>
          <w:p>
            <w:r>
              <w:rPr>
                <w:color w:val="222B33"/>
                <w:sz w:val="18"/>
              </w:rPr>
            </w:r>
            <w:r>
              <w:rPr>
                <w:color w:val="222B33"/>
                <w:sz w:val="18"/>
              </w:rPr>
              <w:t>Freshdesk/Zoho = cheap, trusted, NOT govt-tuned/on-prem-first, no dedup logic. CPGRAMS/NIC = free but no AI, poor UX, no configurability. UniServe = the gap between them</w:t>
            </w:r>
          </w:p>
        </w:tc>
        <w:tc>
          <w:tcPr>
            <w:tcW w:type="dxa" w:w="1882"/>
            <w:shd w:val="clear" w:color="auto" w:fill="EAF6F5"/>
          </w:tcPr>
          <w:p>
            <w:r>
              <w:rPr>
                <w:color w:val="222B33"/>
                <w:sz w:val="18"/>
              </w:rPr>
            </w:r>
            <w:r>
              <w:rPr>
                <w:color w:val="222B33"/>
                <w:sz w:val="18"/>
              </w:rPr>
              <w:t>"I see the gap now"</w:t>
            </w:r>
          </w:p>
        </w:tc>
        <w:tc>
          <w:tcPr>
            <w:tcW w:type="dxa" w:w="1882"/>
            <w:shd w:val="clear" w:color="auto" w:fill="EAF6F5"/>
          </w:tcPr>
          <w:p>
            <w:r>
              <w:rPr>
                <w:color w:val="222B33"/>
                <w:sz w:val="18"/>
              </w:rPr>
            </w:r>
            <w:r>
              <w:rPr>
                <w:color w:val="222B33"/>
                <w:sz w:val="18"/>
              </w:rPr>
              <w:t>4 min</w:t>
            </w:r>
          </w:p>
        </w:tc>
      </w:tr>
      <w:tr>
        <w:tc>
          <w:tcPr>
            <w:tcW w:type="dxa" w:w="1882"/>
          </w:tcPr>
          <w:p>
            <w:r>
              <w:rPr>
                <w:color w:val="222B33"/>
                <w:sz w:val="18"/>
              </w:rPr>
            </w:r>
            <w:r>
              <w:rPr>
                <w:color w:val="222B33"/>
                <w:sz w:val="18"/>
              </w:rPr>
              <w:t>7</w:t>
            </w:r>
          </w:p>
        </w:tc>
        <w:tc>
          <w:tcPr>
            <w:tcW w:type="dxa" w:w="1882"/>
          </w:tcPr>
          <w:p>
            <w:r>
              <w:rPr>
                <w:color w:val="222B33"/>
                <w:sz w:val="18"/>
              </w:rPr>
            </w:r>
            <w:r>
              <w:rPr>
                <w:color w:val="222B33"/>
                <w:sz w:val="18"/>
              </w:rPr>
              <w:t>Who we work with</w:t>
            </w:r>
          </w:p>
        </w:tc>
        <w:tc>
          <w:tcPr>
            <w:tcW w:type="dxa" w:w="1882"/>
          </w:tcPr>
          <w:p>
            <w:r>
              <w:rPr>
                <w:color w:val="222B33"/>
                <w:sz w:val="18"/>
              </w:rPr>
            </w:r>
            <w:r>
              <w:rPr>
                <w:b/>
                <w:color w:val="222B33"/>
                <w:sz w:val="18"/>
              </w:rPr>
              <w:t>No logo wall</w:t>
            </w:r>
            <w:r>
              <w:rPr>
                <w:color w:val="222B33"/>
                <w:sz w:val="18"/>
              </w:rPr>
              <w:t xml:space="preserve"> (zero paying customers — do not fake this). Instead: "proof-of-concept validated on live government-adjacent complaint data," real product screenshots, current pilot cohort framed as "founding customer" opportunity</w:t>
            </w:r>
          </w:p>
        </w:tc>
        <w:tc>
          <w:tcPr>
            <w:tcW w:type="dxa" w:w="1882"/>
          </w:tcPr>
          <w:p>
            <w:r>
              <w:rPr>
                <w:color w:val="222B33"/>
                <w:sz w:val="18"/>
              </w:rPr>
            </w:r>
            <w:r>
              <w:rPr>
                <w:color w:val="222B33"/>
                <w:sz w:val="18"/>
              </w:rPr>
              <w:t>Honest credibility-building</w:t>
            </w:r>
          </w:p>
        </w:tc>
        <w:tc>
          <w:tcPr>
            <w:tcW w:type="dxa" w:w="1882"/>
          </w:tcPr>
          <w:p>
            <w:r>
              <w:rPr>
                <w:color w:val="222B33"/>
                <w:sz w:val="18"/>
              </w:rPr>
            </w:r>
            <w:r>
              <w:rPr>
                <w:color w:val="222B33"/>
                <w:sz w:val="18"/>
              </w:rPr>
              <w:t>3 min</w:t>
            </w:r>
          </w:p>
        </w:tc>
      </w:tr>
      <w:tr>
        <w:tc>
          <w:tcPr>
            <w:tcW w:type="dxa" w:w="1882"/>
            <w:shd w:val="clear" w:color="auto" w:fill="EAF6F5"/>
          </w:tcPr>
          <w:p>
            <w:r>
              <w:rPr>
                <w:color w:val="222B33"/>
                <w:sz w:val="18"/>
              </w:rPr>
            </w:r>
            <w:r>
              <w:rPr>
                <w:color w:val="222B33"/>
                <w:sz w:val="18"/>
              </w:rPr>
              <w:t>8</w:t>
            </w:r>
          </w:p>
        </w:tc>
        <w:tc>
          <w:tcPr>
            <w:tcW w:type="dxa" w:w="1882"/>
            <w:shd w:val="clear" w:color="auto" w:fill="EAF6F5"/>
          </w:tcPr>
          <w:p>
            <w:r>
              <w:rPr>
                <w:color w:val="222B33"/>
                <w:sz w:val="18"/>
              </w:rPr>
            </w:r>
            <w:r>
              <w:rPr>
                <w:color w:val="222B33"/>
                <w:sz w:val="18"/>
              </w:rPr>
              <w:t>Pricing (transparent)</w:t>
            </w:r>
          </w:p>
        </w:tc>
        <w:tc>
          <w:tcPr>
            <w:tcW w:type="dxa" w:w="1882"/>
            <w:shd w:val="clear" w:color="auto" w:fill="EAF6F5"/>
          </w:tcPr>
          <w:p>
            <w:r>
              <w:rPr>
                <w:color w:val="222B33"/>
                <w:sz w:val="18"/>
              </w:rPr>
            </w:r>
            <w:r>
              <w:rPr>
                <w:color w:val="222B33"/>
                <w:sz w:val="18"/>
              </w:rPr>
              <w:t>Govt: flat annual Government Edition (₹3.5L/₹9L/₹14L) + on-prem 2.5-3x + Sovereign/Air-Gapped add-on. BFSI/private: per-agent (₹999-3,999 launch-to-list). Pilot fee (₹50k-1L) as the actual near-term ask for govt/BFSI; the capped guided trial (Section 4.3) as the near-term ask only when presenting to an e-commerce/telecom prospect</w:t>
            </w:r>
          </w:p>
        </w:tc>
        <w:tc>
          <w:tcPr>
            <w:tcW w:type="dxa" w:w="1882"/>
            <w:shd w:val="clear" w:color="auto" w:fill="EAF6F5"/>
          </w:tcPr>
          <w:p>
            <w:r>
              <w:rPr>
                <w:color w:val="222B33"/>
                <w:sz w:val="18"/>
              </w:rPr>
            </w:r>
            <w:r>
              <w:rPr>
                <w:color w:val="222B33"/>
                <w:sz w:val="18"/>
              </w:rPr>
              <w:t>Trust via transparency</w:t>
            </w:r>
          </w:p>
        </w:tc>
        <w:tc>
          <w:tcPr>
            <w:tcW w:type="dxa" w:w="1882"/>
            <w:shd w:val="clear" w:color="auto" w:fill="EAF6F5"/>
          </w:tcPr>
          <w:p>
            <w:r>
              <w:rPr>
                <w:color w:val="222B33"/>
                <w:sz w:val="18"/>
              </w:rPr>
            </w:r>
            <w:r>
              <w:rPr>
                <w:color w:val="222B33"/>
                <w:sz w:val="18"/>
              </w:rPr>
              <w:t>4 min</w:t>
            </w:r>
          </w:p>
        </w:tc>
      </w:tr>
      <w:tr>
        <w:tc>
          <w:tcPr>
            <w:tcW w:type="dxa" w:w="1882"/>
          </w:tcPr>
          <w:p>
            <w:r>
              <w:rPr>
                <w:color w:val="222B33"/>
                <w:sz w:val="18"/>
              </w:rPr>
            </w:r>
            <w:r>
              <w:rPr>
                <w:color w:val="222B33"/>
                <w:sz w:val="18"/>
              </w:rPr>
              <w:t>9</w:t>
            </w:r>
          </w:p>
        </w:tc>
        <w:tc>
          <w:tcPr>
            <w:tcW w:type="dxa" w:w="1882"/>
          </w:tcPr>
          <w:p>
            <w:r>
              <w:rPr>
                <w:color w:val="222B33"/>
                <w:sz w:val="18"/>
              </w:rPr>
            </w:r>
            <w:r>
              <w:rPr>
                <w:color w:val="222B33"/>
                <w:sz w:val="18"/>
              </w:rPr>
              <w:t>ROI/indicative case</w:t>
            </w:r>
          </w:p>
        </w:tc>
        <w:tc>
          <w:tcPr>
            <w:tcW w:type="dxa" w:w="1882"/>
          </w:tcPr>
          <w:p>
            <w:r>
              <w:rPr>
                <w:color w:val="222B33"/>
                <w:sz w:val="18"/>
              </w:rPr>
            </w:r>
            <w:r>
              <w:rPr>
                <w:color w:val="222B33"/>
                <w:sz w:val="18"/>
              </w:rPr>
              <w:t>Explicitly labelled "Indicative, pre-launch modelling" — never a real case study; use ranges not false precision</w:t>
            </w:r>
          </w:p>
        </w:tc>
        <w:tc>
          <w:tcPr>
            <w:tcW w:type="dxa" w:w="1882"/>
          </w:tcPr>
          <w:p>
            <w:r>
              <w:rPr>
                <w:color w:val="222B33"/>
                <w:sz w:val="18"/>
              </w:rPr>
            </w:r>
            <w:r>
              <w:rPr>
                <w:color w:val="222B33"/>
                <w:sz w:val="18"/>
              </w:rPr>
              <w:t>Give the buyer numbers for Finance, without overclaiming</w:t>
            </w:r>
          </w:p>
        </w:tc>
        <w:tc>
          <w:tcPr>
            <w:tcW w:type="dxa" w:w="1882"/>
          </w:tcPr>
          <w:p>
            <w:r>
              <w:rPr>
                <w:color w:val="222B33"/>
                <w:sz w:val="18"/>
              </w:rPr>
            </w:r>
            <w:r>
              <w:rPr>
                <w:color w:val="222B33"/>
                <w:sz w:val="18"/>
              </w:rPr>
              <w:t>3 min</w:t>
            </w:r>
          </w:p>
        </w:tc>
      </w:tr>
      <w:tr>
        <w:tc>
          <w:tcPr>
            <w:tcW w:type="dxa" w:w="1882"/>
            <w:shd w:val="clear" w:color="auto" w:fill="EAF6F5"/>
          </w:tcPr>
          <w:p>
            <w:r>
              <w:rPr>
                <w:color w:val="222B33"/>
                <w:sz w:val="18"/>
              </w:rPr>
            </w:r>
            <w:r>
              <w:rPr>
                <w:color w:val="222B33"/>
                <w:sz w:val="18"/>
              </w:rPr>
              <w:t>10</w:t>
            </w:r>
          </w:p>
        </w:tc>
        <w:tc>
          <w:tcPr>
            <w:tcW w:type="dxa" w:w="1882"/>
            <w:shd w:val="clear" w:color="auto" w:fill="EAF6F5"/>
          </w:tcPr>
          <w:p>
            <w:r>
              <w:rPr>
                <w:color w:val="222B33"/>
                <w:sz w:val="18"/>
              </w:rPr>
            </w:r>
            <w:r>
              <w:rPr>
                <w:color w:val="222B33"/>
                <w:sz w:val="18"/>
              </w:rPr>
              <w:t>Roadmap + next step</w:t>
            </w:r>
          </w:p>
        </w:tc>
        <w:tc>
          <w:tcPr>
            <w:tcW w:type="dxa" w:w="1882"/>
            <w:shd w:val="clear" w:color="auto" w:fill="EAF6F5"/>
          </w:tcPr>
          <w:p>
            <w:r>
              <w:rPr>
                <w:color w:val="222B33"/>
                <w:sz w:val="18"/>
              </w:rPr>
            </w:r>
            <w:r>
              <w:rPr>
                <w:color w:val="222B33"/>
                <w:sz w:val="18"/>
              </w:rPr>
              <w:t>Phase 1/2 summary; the specific pilot ask with a named next-meeting-date request</w:t>
            </w:r>
          </w:p>
        </w:tc>
        <w:tc>
          <w:tcPr>
            <w:tcW w:type="dxa" w:w="1882"/>
            <w:shd w:val="clear" w:color="auto" w:fill="EAF6F5"/>
          </w:tcPr>
          <w:p>
            <w:r>
              <w:rPr>
                <w:color w:val="222B33"/>
                <w:sz w:val="18"/>
              </w:rPr>
            </w:r>
            <w:r>
              <w:rPr>
                <w:color w:val="222B33"/>
                <w:sz w:val="18"/>
              </w:rPr>
              <w:t>Concrete, low-risk, board-approval-free commitment</w:t>
            </w:r>
          </w:p>
        </w:tc>
        <w:tc>
          <w:tcPr>
            <w:tcW w:type="dxa" w:w="1882"/>
            <w:shd w:val="clear" w:color="auto" w:fill="EAF6F5"/>
          </w:tcPr>
          <w:p>
            <w:r>
              <w:rPr>
                <w:color w:val="222B33"/>
                <w:sz w:val="18"/>
              </w:rPr>
            </w:r>
            <w:r>
              <w:rPr>
                <w:color w:val="222B33"/>
                <w:sz w:val="18"/>
              </w:rPr>
              <w:t>2 min</w:t>
            </w:r>
          </w:p>
        </w:tc>
      </w:tr>
    </w:tbl>
    <w:p/>
    <w:p>
      <w:pPr>
        <w:spacing w:before="320" w:after="160"/>
        <w:pStyle w:val="Heading2"/>
        <w:keepNext/>
        <w:pBdr>
          <w:bottom w:val="single" w:sz="6" w:space="4" w:color="B7E4E0"/>
        </w:pBdr>
      </w:pPr>
      <w:r>
        <w:rPr>
          <w:rFonts w:ascii="Calibri" w:hAnsi="Calibri"/>
          <w:b/>
          <w:color w:val="028090"/>
          <w:sz w:val="30"/>
        </w:rPr>
        <w:t>4.3 One-Pager Specs</w:t>
      </w:r>
    </w:p>
    <w:p>
      <w:r>
        <w:rPr>
          <w:b/>
          <w:color w:val="222B33"/>
          <w:sz w:val="21"/>
        </w:rPr>
        <w:t>Government/Utility:</w:t>
      </w:r>
      <w:r>
        <w:rPr>
          <w:color w:val="222B33"/>
          <w:sz w:val="21"/>
        </w:rPr>
        <w:t xml:space="preserve"> Headline "One Platform. Every Channel. A Complaint Trail You Can Show an Auditor." Stats (indicative, labelled as such): "6+ fragmented channels → 1 unified auditable queue," "CGRF-ready compliance export in minutes, not a week," "On-prem/MeitY-aligned — data never has to leave your network." Visual: before/after funnel diagram. Proof-point workaround: firsthand-observation framing + real product screenshot (not a logo). CTA: "Book a 45-min scoping session for an 8-12 week pilot — under ₹1L, approvable at officer level."</w:t>
      </w:r>
    </w:p>
    <w:p>
      <w:r>
        <w:rPr>
          <w:b/>
          <w:color w:val="222B33"/>
          <w:sz w:val="21"/>
        </w:rPr>
        <w:t>BFSI:</w:t>
      </w:r>
      <w:r>
        <w:rPr>
          <w:color w:val="222B33"/>
          <w:sz w:val="21"/>
        </w:rPr>
        <w:t xml:space="preserve"> Headline "RBI Integrated Ombudsman-Ready Grievance Redressal — Configured, Not Custom-Built." Stats: "Pre-mapped to RBI's Integrated Ombudsman Scheme taxonomy," "AI-native cross-channel dedup — one grievance, one ticket," "Opex, not capex — live from ₹999/agent/month." Visual: grievance-category mapping table + SLA dashboard screenshot. CTA: "Start a 4-week configuration trial mapped to your own RBI reporting categories."</w:t>
      </w:r>
    </w:p>
    <w:p>
      <w:r>
        <w:rPr>
          <w:b/>
          <w:color w:val="222B33"/>
          <w:sz w:val="21"/>
        </w:rPr>
        <w:t>Private Sector (E-commerce/Telecom — opportunistic use only per IMS):</w:t>
      </w:r>
      <w:r>
        <w:rPr>
          <w:color w:val="222B33"/>
          <w:sz w:val="21"/>
        </w:rPr>
        <w:t xml:space="preserve"> Headline "WhatsApp-First Support. Faster Resolution, Lower Cost Per Ticket." Stats: "WhatsApp-native intake," "AI triage + auto-dedup cuts duplicate-ticket noise," "Starter tier from ₹999/agent/month." Visual: side-by-side WhatsApp-to-ticket screen capture. </w:t>
      </w:r>
      <w:r>
        <w:rPr>
          <w:b/>
          <w:color w:val="222B33"/>
          <w:sz w:val="21"/>
        </w:rPr>
        <w:t>CTA (adjudicated — see Process Notes): "Start a 14-day guided trial — 1 agent seat, up to 100 tickets, no credit card required. Trial ends automatically at day 14; upgrade to a paid seat to continue, no auto-renewal."</w:t>
      </w:r>
      <w:r>
        <w:rPr>
          <w:color w:val="222B33"/>
          <w:sz w:val="21"/>
        </w:rPr>
        <w:t xml:space="preserve"> A team member personally initiates and checks in on every trial (it is guided, not unattended self-serve) so it still produces a real sales touchpoint. This offer must never appear on, or be linked from, any govt- or BFSI-facing page, campaign, or navigation path — it exists only on this one-pager and a dedicated tertiary-segment landing page, fully firewalled from the govt/BFSI funnel.</w:t>
      </w:r>
    </w:p>
    <w:p>
      <w:pPr>
        <w:spacing w:before="320" w:after="160"/>
        <w:pStyle w:val="Heading2"/>
        <w:keepNext/>
        <w:pBdr>
          <w:bottom w:val="single" w:sz="6" w:space="4" w:color="B7E4E0"/>
        </w:pBdr>
      </w:pPr>
      <w:r>
        <w:rPr>
          <w:rFonts w:ascii="Calibri" w:hAnsi="Calibri"/>
          <w:b/>
          <w:color w:val="028090"/>
          <w:sz w:val="30"/>
        </w:rPr>
        <w:t>4.4 Demo Script Framework (20 min, real product)</w:t>
      </w:r>
    </w:p>
    <w:p>
      <w:r>
        <w:rPr>
          <w:b/>
          <w:color w:val="222B33"/>
          <w:sz w:val="21"/>
        </w:rPr>
        <w:t>Pre-demo (5 min):</w:t>
      </w:r>
      <w:r>
        <w:rPr>
          <w:color w:val="222B33"/>
          <w:sz w:val="21"/>
        </w:rPr>
        <w:t xml:space="preserve"> Discovery questions — "Walk me through what happens today the moment a complaint arrives on WhatsApp"; "How many separate systems does a single complaint touch?"; "How do you produce your CGRF/SLA compliance report today, and how long does it take?"; "Has a complaint ever reached a Minister's/MD's office before your own team logged it?"; "What's your officer-level sanction threshold?" Context-set: "everything I'm about to show you is the live, working product."</w:t>
      </w:r>
    </w:p>
    <w:p>
      <w:r>
        <w:rPr>
          <w:b/>
          <w:color w:val="222B33"/>
          <w:sz w:val="21"/>
        </w:rPr>
        <w:t>Demo flow (12 min):</w:t>
      </w:r>
      <w:r>
        <w:rPr>
          <w:color w:val="222B33"/>
          <w:sz w:val="21"/>
        </w:rPr>
        <w:t xml:space="preserve"> (1) 0-2 min — the chaos without UniServe, mirrored from the prospect's own description. (2) 2-5 min — live inbound WhatsApp message → AI identity gate confirms sender → ticket auto-appears in queue. (3) 5-9 min — agent dashboard priority queue; always demo a pre-seeded high-priority/escalation ticket showing dedup/linking; ticket detail with audit trail and mandatory-note transitions ("this is what makes it CAG-audit-defensible"); "Ask a follow-up" with delivery confirmation. (4) 9-11 min — analytics: SLA donut, volume stacked bar, dedup-collapse framed as Board-ready. (5) 11-12 min — admin (optional, technical evaluators only): Intake Fields/Priority Rules config, RBAC, on-prem/air-gapped posture discussion.</w:t>
      </w:r>
    </w:p>
    <w:p>
      <w:r>
        <w:rPr>
          <w:b/>
          <w:color w:val="222B33"/>
          <w:sz w:val="21"/>
        </w:rPr>
        <w:t>Close (3 min):</w:t>
      </w:r>
      <w:r>
        <w:rPr>
          <w:color w:val="222B33"/>
          <w:sz w:val="21"/>
        </w:rPr>
        <w:t xml:space="preserve"> "What would this actually solve for your team specifically?" → the offer, </w:t>
      </w:r>
      <w:r>
        <w:rPr>
          <w:b/>
          <w:color w:val="222B33"/>
          <w:sz w:val="21"/>
        </w:rPr>
        <w:t>segment-conditional</w:t>
      </w:r>
      <w:r>
        <w:rPr>
          <w:color w:val="222B33"/>
          <w:sz w:val="21"/>
        </w:rPr>
        <w:t>: paid pilot (8-12 weeks, ₹50k-1L, written success criteria, 12-month price lock, 30-day conversion credit) for govt/BFSI prospects; the capped 14-day guided trial (Section 4.3) only when the demo audience is e-commerce/telecom — never improvised interchangeably → named next-meeting date with IT + Finance.</w:t>
      </w:r>
    </w:p>
    <w:p>
      <w:pPr>
        <w:spacing w:before="320" w:after="160"/>
        <w:pStyle w:val="Heading2"/>
        <w:keepNext/>
        <w:pBdr>
          <w:bottom w:val="single" w:sz="6" w:space="4" w:color="B7E4E0"/>
        </w:pBdr>
      </w:pPr>
      <w:r>
        <w:rPr>
          <w:rFonts w:ascii="Calibri" w:hAnsi="Calibri"/>
          <w:b/>
          <w:color w:val="028090"/>
          <w:sz w:val="30"/>
        </w:rPr>
        <w:t>4.5 Objection Handling Guide</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0D1B2A"/>
          </w:tcPr>
          <w:p>
            <w:r>
              <w:rPr>
                <w:b/>
                <w:color w:val="FFFFFF"/>
                <w:sz w:val="19"/>
              </w:rPr>
            </w:r>
            <w:r>
              <w:rPr>
                <w:b/>
                <w:color w:val="FFFFFF"/>
                <w:sz w:val="19"/>
              </w:rPr>
              <w:t>Objection</w:t>
            </w:r>
          </w:p>
        </w:tc>
        <w:tc>
          <w:tcPr>
            <w:tcW w:type="dxa" w:w="1882"/>
            <w:shd w:val="clear" w:color="auto" w:fill="0D1B2A"/>
          </w:tcPr>
          <w:p>
            <w:r>
              <w:rPr>
                <w:b/>
                <w:color w:val="FFFFFF"/>
                <w:sz w:val="19"/>
              </w:rPr>
            </w:r>
            <w:r>
              <w:rPr>
                <w:b/>
                <w:color w:val="FFFFFF"/>
                <w:sz w:val="19"/>
              </w:rPr>
              <w:t>What they really mean</w:t>
            </w:r>
          </w:p>
        </w:tc>
        <w:tc>
          <w:tcPr>
            <w:tcW w:type="dxa" w:w="1882"/>
            <w:shd w:val="clear" w:color="auto" w:fill="0D1B2A"/>
          </w:tcPr>
          <w:p>
            <w:r>
              <w:rPr>
                <w:b/>
                <w:color w:val="FFFFFF"/>
                <w:sz w:val="19"/>
              </w:rPr>
            </w:r>
            <w:r>
              <w:rPr>
                <w:b/>
                <w:color w:val="FFFFFF"/>
                <w:sz w:val="19"/>
              </w:rPr>
              <w:t>Response strategy</w:t>
            </w:r>
          </w:p>
        </w:tc>
        <w:tc>
          <w:tcPr>
            <w:tcW w:type="dxa" w:w="1882"/>
            <w:shd w:val="clear" w:color="auto" w:fill="0D1B2A"/>
          </w:tcPr>
          <w:p>
            <w:r>
              <w:rPr>
                <w:b/>
                <w:color w:val="FFFFFF"/>
                <w:sz w:val="19"/>
              </w:rPr>
            </w:r>
            <w:r>
              <w:rPr>
                <w:b/>
                <w:color w:val="FFFFFF"/>
                <w:sz w:val="19"/>
              </w:rPr>
              <w:t>Proof point</w:t>
            </w:r>
          </w:p>
        </w:tc>
        <w:tc>
          <w:tcPr>
            <w:tcW w:type="dxa" w:w="1882"/>
            <w:shd w:val="clear" w:color="auto" w:fill="0D1B2A"/>
          </w:tcPr>
          <w:p>
            <w:r>
              <w:rPr>
                <w:b/>
                <w:color w:val="FFFFFF"/>
                <w:sz w:val="19"/>
              </w:rPr>
            </w:r>
            <w:r>
              <w:rPr>
                <w:b/>
                <w:color w:val="FFFFFF"/>
                <w:sz w:val="19"/>
              </w:rPr>
              <w:t>Redirect</w:t>
            </w:r>
          </w:p>
        </w:tc>
      </w:tr>
      <w:tr>
        <w:tc>
          <w:tcPr>
            <w:tcW w:type="dxa" w:w="1882"/>
          </w:tcPr>
          <w:p>
            <w:r>
              <w:rPr>
                <w:color w:val="222B33"/>
                <w:sz w:val="18"/>
              </w:rPr>
            </w:r>
            <w:r>
              <w:rPr>
                <w:color w:val="222B33"/>
                <w:sz w:val="18"/>
              </w:rPr>
              <w:t>"We already have Freshdesk/Zoho"</w:t>
            </w:r>
          </w:p>
        </w:tc>
        <w:tc>
          <w:tcPr>
            <w:tcW w:type="dxa" w:w="1882"/>
          </w:tcPr>
          <w:p>
            <w:r>
              <w:rPr>
                <w:color w:val="222B33"/>
                <w:sz w:val="18"/>
              </w:rPr>
            </w:r>
            <w:r>
              <w:rPr>
                <w:color w:val="222B33"/>
                <w:sz w:val="18"/>
              </w:rPr>
              <w:t>Why switch from something cheap that works?</w:t>
            </w:r>
          </w:p>
        </w:tc>
        <w:tc>
          <w:tcPr>
            <w:tcW w:type="dxa" w:w="1882"/>
          </w:tcPr>
          <w:p>
            <w:r>
              <w:rPr>
                <w:color w:val="222B33"/>
                <w:sz w:val="18"/>
              </w:rPr>
            </w:r>
            <w:r>
              <w:rPr>
                <w:color w:val="222B33"/>
                <w:sz w:val="18"/>
              </w:rPr>
              <w:t>Don't attack it — reposition as the compliance/AI layer they don't have</w:t>
            </w:r>
          </w:p>
        </w:tc>
        <w:tc>
          <w:tcPr>
            <w:tcW w:type="dxa" w:w="1882"/>
          </w:tcPr>
          <w:p>
            <w:r>
              <w:rPr>
                <w:color w:val="222B33"/>
                <w:sz w:val="18"/>
              </w:rPr>
            </w:r>
            <w:r>
              <w:rPr>
                <w:color w:val="222B33"/>
                <w:sz w:val="18"/>
              </w:rPr>
              <w:t>Freshdesk/Zoho not govt-tuned or on-prem-first; no RBI category mapping out of the box</w:t>
            </w:r>
          </w:p>
        </w:tc>
        <w:tc>
          <w:tcPr>
            <w:tcW w:type="dxa" w:w="1882"/>
          </w:tcPr>
          <w:p>
            <w:r>
              <w:rPr>
                <w:color w:val="222B33"/>
                <w:sz w:val="18"/>
              </w:rPr>
            </w:r>
            <w:r>
              <w:rPr>
                <w:color w:val="222B33"/>
                <w:sz w:val="18"/>
              </w:rPr>
              <w:t>"Keep it for internal IT tickets — pilot UniServe on citizen/customer grievance specifically"</w:t>
            </w:r>
          </w:p>
        </w:tc>
      </w:tr>
      <w:tr>
        <w:tc>
          <w:tcPr>
            <w:tcW w:type="dxa" w:w="1882"/>
            <w:shd w:val="clear" w:color="auto" w:fill="EAF6F5"/>
          </w:tcPr>
          <w:p>
            <w:r>
              <w:rPr>
                <w:color w:val="222B33"/>
                <w:sz w:val="18"/>
              </w:rPr>
            </w:r>
            <w:r>
              <w:rPr>
                <w:color w:val="222B33"/>
                <w:sz w:val="18"/>
              </w:rPr>
              <w:t>"We built something in-house"</w:t>
            </w:r>
          </w:p>
        </w:tc>
        <w:tc>
          <w:tcPr>
            <w:tcW w:type="dxa" w:w="1882"/>
            <w:shd w:val="clear" w:color="auto" w:fill="EAF6F5"/>
          </w:tcPr>
          <w:p>
            <w:r>
              <w:rPr>
                <w:color w:val="222B33"/>
                <w:sz w:val="18"/>
              </w:rPr>
            </w:r>
            <w:r>
              <w:rPr>
                <w:color w:val="222B33"/>
                <w:sz w:val="18"/>
              </w:rPr>
              <w:t>Don't tell us our build is inadequate</w:t>
            </w:r>
          </w:p>
        </w:tc>
        <w:tc>
          <w:tcPr>
            <w:tcW w:type="dxa" w:w="1882"/>
            <w:shd w:val="clear" w:color="auto" w:fill="EAF6F5"/>
          </w:tcPr>
          <w:p>
            <w:r>
              <w:rPr>
                <w:color w:val="222B33"/>
                <w:sz w:val="18"/>
              </w:rPr>
            </w:r>
            <w:r>
              <w:rPr>
                <w:color w:val="222B33"/>
                <w:sz w:val="18"/>
              </w:rPr>
              <w:t>Respect the build, ask one diagnostic question about CGRF report turnaround time</w:t>
            </w:r>
          </w:p>
        </w:tc>
        <w:tc>
          <w:tcPr>
            <w:tcW w:type="dxa" w:w="1882"/>
            <w:shd w:val="clear" w:color="auto" w:fill="EAF6F5"/>
          </w:tcPr>
          <w:p>
            <w:r>
              <w:rPr>
                <w:color w:val="222B33"/>
                <w:sz w:val="18"/>
              </w:rPr>
            </w:r>
            <w:r>
              <w:rPr>
                <w:color w:val="222B33"/>
                <w:sz w:val="18"/>
              </w:rPr>
              <w:t>AI-native dedup/configurable rubric are non-trivial to maintain alongside a day job</w:t>
            </w:r>
          </w:p>
        </w:tc>
        <w:tc>
          <w:tcPr>
            <w:tcW w:type="dxa" w:w="1882"/>
            <w:shd w:val="clear" w:color="auto" w:fill="EAF6F5"/>
          </w:tcPr>
          <w:p>
            <w:r>
              <w:rPr>
                <w:color w:val="222B33"/>
                <w:sz w:val="18"/>
              </w:rPr>
            </w:r>
            <w:r>
              <w:rPr>
                <w:color w:val="222B33"/>
                <w:sz w:val="18"/>
              </w:rPr>
              <w:t>"Would a side-by-side pilot on one circle be a fair comparison?"</w:t>
            </w:r>
          </w:p>
        </w:tc>
      </w:tr>
      <w:tr>
        <w:tc>
          <w:tcPr>
            <w:tcW w:type="dxa" w:w="1882"/>
          </w:tcPr>
          <w:p>
            <w:r>
              <w:rPr>
                <w:color w:val="222B33"/>
                <w:sz w:val="18"/>
              </w:rPr>
            </w:r>
            <w:r>
              <w:rPr>
                <w:color w:val="222B33"/>
                <w:sz w:val="18"/>
              </w:rPr>
              <w:t>"Government procurement is too slow for a startup"</w:t>
            </w:r>
          </w:p>
        </w:tc>
        <w:tc>
          <w:tcPr>
            <w:tcW w:type="dxa" w:w="1882"/>
          </w:tcPr>
          <w:p>
            <w:r>
              <w:rPr>
                <w:color w:val="222B33"/>
                <w:sz w:val="18"/>
              </w:rPr>
            </w:r>
            <w:r>
              <w:rPr>
                <w:color w:val="222B33"/>
                <w:sz w:val="18"/>
              </w:rPr>
              <w:t>You'll go under waiting for our tender cycle</w:t>
            </w:r>
          </w:p>
        </w:tc>
        <w:tc>
          <w:tcPr>
            <w:tcW w:type="dxa" w:w="1882"/>
          </w:tcPr>
          <w:p>
            <w:r>
              <w:rPr>
                <w:color w:val="222B33"/>
                <w:sz w:val="18"/>
              </w:rPr>
            </w:r>
            <w:r>
              <w:rPr>
                <w:color w:val="222B33"/>
                <w:sz w:val="18"/>
              </w:rPr>
              <w:t>Agree, then note the pilot is structured under the officer-level threshold, avoiding GeM/tender entirely</w:t>
            </w:r>
          </w:p>
        </w:tc>
        <w:tc>
          <w:tcPr>
            <w:tcW w:type="dxa" w:w="1882"/>
          </w:tcPr>
          <w:p>
            <w:r>
              <w:rPr>
                <w:color w:val="222B33"/>
                <w:sz w:val="18"/>
              </w:rPr>
            </w:r>
            <w:r>
              <w:rPr>
                <w:color w:val="222B33"/>
                <w:sz w:val="18"/>
              </w:rPr>
              <w:t>Pilot fee (₹50k-1L) explicitly designed to stay below GeM/RFP thresholds</w:t>
            </w:r>
          </w:p>
        </w:tc>
        <w:tc>
          <w:tcPr>
            <w:tcW w:type="dxa" w:w="1882"/>
          </w:tcPr>
          <w:p>
            <w:r>
              <w:rPr>
                <w:color w:val="222B33"/>
                <w:sz w:val="18"/>
              </w:rPr>
            </w:r>
            <w:r>
              <w:rPr>
                <w:color w:val="222B33"/>
                <w:sz w:val="18"/>
              </w:rPr>
              <w:t>"Let's not touch the tender process yet — this is a desk-level PO, not a procurement event"</w:t>
            </w:r>
          </w:p>
        </w:tc>
      </w:tr>
      <w:tr>
        <w:tc>
          <w:tcPr>
            <w:tcW w:type="dxa" w:w="1882"/>
            <w:shd w:val="clear" w:color="auto" w:fill="EAF6F5"/>
          </w:tcPr>
          <w:p>
            <w:r>
              <w:rPr>
                <w:color w:val="222B33"/>
                <w:sz w:val="18"/>
              </w:rPr>
            </w:r>
            <w:r>
              <w:rPr>
                <w:color w:val="222B33"/>
                <w:sz w:val="18"/>
              </w:rPr>
              <w:t>"What if your company shuts down?"</w:t>
            </w:r>
          </w:p>
        </w:tc>
        <w:tc>
          <w:tcPr>
            <w:tcW w:type="dxa" w:w="1882"/>
            <w:shd w:val="clear" w:color="auto" w:fill="EAF6F5"/>
          </w:tcPr>
          <w:p>
            <w:r>
              <w:rPr>
                <w:color w:val="222B33"/>
                <w:sz w:val="18"/>
              </w:rPr>
            </w:r>
            <w:r>
              <w:rPr>
                <w:color w:val="222B33"/>
                <w:sz w:val="18"/>
              </w:rPr>
              <w:t>Can't depend on a vendor that might vanish</w:t>
            </w:r>
          </w:p>
        </w:tc>
        <w:tc>
          <w:tcPr>
            <w:tcW w:type="dxa" w:w="1882"/>
            <w:shd w:val="clear" w:color="auto" w:fill="EAF6F5"/>
          </w:tcPr>
          <w:p>
            <w:r>
              <w:rPr>
                <w:color w:val="222B33"/>
                <w:sz w:val="18"/>
              </w:rPr>
            </w:r>
            <w:r>
              <w:rPr>
                <w:color w:val="222B33"/>
                <w:sz w:val="18"/>
              </w:rPr>
              <w:t>Be honest about stage; reframe risk via small pilot scope + on-prem/data-export options</w:t>
            </w:r>
          </w:p>
        </w:tc>
        <w:tc>
          <w:tcPr>
            <w:tcW w:type="dxa" w:w="1882"/>
            <w:shd w:val="clear" w:color="auto" w:fill="EAF6F5"/>
          </w:tcPr>
          <w:p>
            <w:r>
              <w:rPr>
                <w:color w:val="222B33"/>
                <w:sz w:val="18"/>
              </w:rPr>
            </w:r>
            <w:r>
              <w:rPr>
                <w:color w:val="222B33"/>
                <w:sz w:val="18"/>
              </w:rPr>
              <w:t>On-prem option + no proprietary lock-in on citizen data</w:t>
            </w:r>
          </w:p>
        </w:tc>
        <w:tc>
          <w:tcPr>
            <w:tcW w:type="dxa" w:w="1882"/>
            <w:shd w:val="clear" w:color="auto" w:fill="EAF6F5"/>
          </w:tcPr>
          <w:p>
            <w:r>
              <w:rPr>
                <w:color w:val="222B33"/>
                <w:sz w:val="18"/>
              </w:rPr>
            </w:r>
            <w:r>
              <w:rPr>
                <w:color w:val="222B33"/>
                <w:sz w:val="18"/>
              </w:rPr>
              <w:t>"That's why we start bounded and low-cost rather than betting the department upfront"</w:t>
            </w:r>
          </w:p>
        </w:tc>
      </w:tr>
      <w:tr>
        <w:tc>
          <w:tcPr>
            <w:tcW w:type="dxa" w:w="1882"/>
          </w:tcPr>
          <w:p>
            <w:r>
              <w:rPr>
                <w:color w:val="222B33"/>
                <w:sz w:val="18"/>
              </w:rPr>
            </w:r>
            <w:r>
              <w:rPr>
                <w:color w:val="222B33"/>
                <w:sz w:val="18"/>
              </w:rPr>
              <w:t>"Your pricing is too high"</w:t>
            </w:r>
          </w:p>
        </w:tc>
        <w:tc>
          <w:tcPr>
            <w:tcW w:type="dxa" w:w="1882"/>
          </w:tcPr>
          <w:p>
            <w:r>
              <w:rPr>
                <w:color w:val="222B33"/>
                <w:sz w:val="18"/>
              </w:rPr>
            </w:r>
            <w:r>
              <w:rPr>
                <w:color w:val="222B33"/>
                <w:sz w:val="18"/>
              </w:rPr>
              <w:t>We don't see the value, or you're not cheapest</w:t>
            </w:r>
          </w:p>
        </w:tc>
        <w:tc>
          <w:tcPr>
            <w:tcW w:type="dxa" w:w="1882"/>
          </w:tcPr>
          <w:p>
            <w:r>
              <w:rPr>
                <w:color w:val="222B33"/>
                <w:sz w:val="18"/>
              </w:rPr>
            </w:r>
            <w:r>
              <w:rPr>
                <w:color w:val="222B33"/>
                <w:sz w:val="18"/>
              </w:rPr>
              <w:t>Anchor on govt flat-annual pricing (not per-seat comparison); reframe against manual-Excel/CGRF labour cost and SERC penalty risk</w:t>
            </w:r>
          </w:p>
        </w:tc>
        <w:tc>
          <w:tcPr>
            <w:tcW w:type="dxa" w:w="1882"/>
          </w:tcPr>
          <w:p>
            <w:r>
              <w:rPr>
                <w:color w:val="222B33"/>
                <w:sz w:val="18"/>
              </w:rPr>
            </w:r>
            <w:r>
              <w:rPr>
                <w:color w:val="222B33"/>
                <w:sz w:val="18"/>
              </w:rPr>
              <w:t>Gov-Entry ₹3.5L/yr vs. a real SERC penalty/CAG-finding risk</w:t>
            </w:r>
          </w:p>
        </w:tc>
        <w:tc>
          <w:tcPr>
            <w:tcW w:type="dxa" w:w="1882"/>
          </w:tcPr>
          <w:p>
            <w:r>
              <w:rPr>
                <w:color w:val="222B33"/>
                <w:sz w:val="18"/>
              </w:rPr>
            </w:r>
            <w:r>
              <w:rPr>
                <w:color w:val="222B33"/>
                <w:sz w:val="18"/>
              </w:rPr>
              <w:t>"What's this costing you today in staff hours on manual compliance reporting?"</w:t>
            </w:r>
          </w:p>
        </w:tc>
      </w:tr>
      <w:tr>
        <w:tc>
          <w:tcPr>
            <w:tcW w:type="dxa" w:w="1882"/>
            <w:shd w:val="clear" w:color="auto" w:fill="EAF6F5"/>
          </w:tcPr>
          <w:p>
            <w:r>
              <w:rPr>
                <w:color w:val="222B33"/>
                <w:sz w:val="18"/>
              </w:rPr>
            </w:r>
            <w:r>
              <w:rPr>
                <w:color w:val="222B33"/>
                <w:sz w:val="18"/>
              </w:rPr>
              <w:t>"We need it on-prem, IT won't approve cloud"</w:t>
            </w:r>
          </w:p>
        </w:tc>
        <w:tc>
          <w:tcPr>
            <w:tcW w:type="dxa" w:w="1882"/>
            <w:shd w:val="clear" w:color="auto" w:fill="EAF6F5"/>
          </w:tcPr>
          <w:p>
            <w:r>
              <w:rPr>
                <w:color w:val="222B33"/>
                <w:sz w:val="18"/>
              </w:rPr>
            </w:r>
            <w:r>
              <w:rPr>
                <w:color w:val="222B33"/>
                <w:sz w:val="18"/>
              </w:rPr>
              <w:t>Security policy is non-negotiable</w:t>
            </w:r>
          </w:p>
        </w:tc>
        <w:tc>
          <w:tcPr>
            <w:tcW w:type="dxa" w:w="1882"/>
            <w:shd w:val="clear" w:color="auto" w:fill="EAF6F5"/>
          </w:tcPr>
          <w:p>
            <w:r>
              <w:rPr>
                <w:color w:val="222B33"/>
                <w:sz w:val="18"/>
              </w:rPr>
            </w:r>
            <w:r>
              <w:rPr>
                <w:color w:val="222B33"/>
                <w:sz w:val="18"/>
              </w:rPr>
              <w:t>Agree immediately, don't argue DPDP legal nuance — lead with on-prem SKU and Sovereign/Air-Gapped add-on</w:t>
            </w:r>
          </w:p>
        </w:tc>
        <w:tc>
          <w:tcPr>
            <w:tcW w:type="dxa" w:w="1882"/>
            <w:shd w:val="clear" w:color="auto" w:fill="EAF6F5"/>
          </w:tcPr>
          <w:p>
            <w:r>
              <w:rPr>
                <w:color w:val="222B33"/>
                <w:sz w:val="18"/>
              </w:rPr>
            </w:r>
            <w:r>
              <w:rPr>
                <w:color w:val="222B33"/>
                <w:sz w:val="18"/>
              </w:rPr>
              <w:t>On-prem at 2.5-3x cloud; Sovereign/Air-Gapped add-on (~₹2-4L/yr) exists for exactly this</w:t>
            </w:r>
          </w:p>
        </w:tc>
        <w:tc>
          <w:tcPr>
            <w:tcW w:type="dxa" w:w="1882"/>
            <w:shd w:val="clear" w:color="auto" w:fill="EAF6F5"/>
          </w:tcPr>
          <w:p>
            <w:r>
              <w:rPr>
                <w:color w:val="222B33"/>
                <w:sz w:val="18"/>
              </w:rPr>
            </w:r>
            <w:r>
              <w:rPr>
                <w:color w:val="222B33"/>
                <w:sz w:val="18"/>
              </w:rPr>
              <w:t>"Let's get your IT security team on a call early to scope the on-prem/air-gapped path"</w:t>
            </w:r>
          </w:p>
        </w:tc>
      </w:tr>
      <w:tr>
        <w:tc>
          <w:tcPr>
            <w:tcW w:type="dxa" w:w="1882"/>
          </w:tcPr>
          <w:p>
            <w:r>
              <w:rPr>
                <w:color w:val="222B33"/>
                <w:sz w:val="18"/>
              </w:rPr>
            </w:r>
            <w:r>
              <w:rPr>
                <w:color w:val="222B33"/>
                <w:sz w:val="18"/>
              </w:rPr>
              <w:t>"Show me a reference customer in India"</w:t>
            </w:r>
          </w:p>
        </w:tc>
        <w:tc>
          <w:tcPr>
            <w:tcW w:type="dxa" w:w="1882"/>
          </w:tcPr>
          <w:p>
            <w:r>
              <w:rPr>
                <w:color w:val="222B33"/>
                <w:sz w:val="18"/>
              </w:rPr>
            </w:r>
            <w:r>
              <w:rPr>
                <w:color w:val="222B33"/>
                <w:sz w:val="18"/>
              </w:rPr>
              <w:t>Prove someone trusted you before I do</w:t>
            </w:r>
          </w:p>
        </w:tc>
        <w:tc>
          <w:tcPr>
            <w:tcW w:type="dxa" w:w="1882"/>
          </w:tcPr>
          <w:p>
            <w:r>
              <w:rPr>
                <w:color w:val="222B33"/>
                <w:sz w:val="18"/>
              </w:rPr>
            </w:r>
            <w:r>
              <w:rPr>
                <w:b/>
                <w:color w:val="222B33"/>
                <w:sz w:val="18"/>
              </w:rPr>
              <w:t>Never imply an existing customer relationship.</w:t>
            </w:r>
            <w:r>
              <w:rPr>
                <w:color w:val="222B33"/>
                <w:sz w:val="18"/>
              </w:rPr>
              <w:t xml:space="preserve"> Be direct: zero paying customers today; pivot to the founder-origin proof-of-concept and the pilot structure as the risk-mitigant</w:t>
            </w:r>
          </w:p>
        </w:tc>
        <w:tc>
          <w:tcPr>
            <w:tcW w:type="dxa" w:w="1882"/>
          </w:tcPr>
          <w:p>
            <w:r>
              <w:rPr>
                <w:color w:val="222B33"/>
                <w:sz w:val="18"/>
              </w:rPr>
            </w:r>
            <w:r>
              <w:rPr>
                <w:color w:val="222B33"/>
                <w:sz w:val="18"/>
              </w:rPr>
              <w:t>"Our design was shaped by firsthand observation at a Tamil Nadu electricity board desk — that's an origin story, not a customer relationship"</w:t>
            </w:r>
          </w:p>
        </w:tc>
        <w:tc>
          <w:tcPr>
            <w:tcW w:type="dxa" w:w="1882"/>
          </w:tcPr>
          <w:p>
            <w:r>
              <w:rPr>
                <w:color w:val="222B33"/>
                <w:sz w:val="18"/>
              </w:rPr>
            </w:r>
            <w:r>
              <w:rPr>
                <w:color w:val="222B33"/>
                <w:sz w:val="18"/>
              </w:rPr>
              <w:t>"That's exactly why the pilot is structured this way — small, cheap, time-boxed, written success criteria — so you test it yourself"</w:t>
            </w:r>
          </w:p>
        </w:tc>
      </w:tr>
      <w:tr>
        <w:tc>
          <w:tcPr>
            <w:tcW w:type="dxa" w:w="1882"/>
            <w:shd w:val="clear" w:color="auto" w:fill="EAF6F5"/>
          </w:tcPr>
          <w:p>
            <w:r>
              <w:rPr>
                <w:color w:val="222B33"/>
                <w:sz w:val="18"/>
              </w:rPr>
            </w:r>
            <w:r>
              <w:rPr>
                <w:color w:val="222B33"/>
                <w:sz w:val="18"/>
              </w:rPr>
              <w:t>"What about data security/DPDP compliance?"</w:t>
            </w:r>
          </w:p>
        </w:tc>
        <w:tc>
          <w:tcPr>
            <w:tcW w:type="dxa" w:w="1882"/>
            <w:shd w:val="clear" w:color="auto" w:fill="EAF6F5"/>
          </w:tcPr>
          <w:p>
            <w:r>
              <w:rPr>
                <w:color w:val="222B33"/>
                <w:sz w:val="18"/>
              </w:rPr>
            </w:r>
            <w:r>
              <w:rPr>
                <w:color w:val="222B33"/>
                <w:sz w:val="18"/>
              </w:rPr>
              <w:t>Will this get me in trouble with an auditor?</w:t>
            </w:r>
          </w:p>
        </w:tc>
        <w:tc>
          <w:tcPr>
            <w:tcW w:type="dxa" w:w="1882"/>
            <w:shd w:val="clear" w:color="auto" w:fill="EAF6F5"/>
          </w:tcPr>
          <w:p>
            <w:r>
              <w:rPr>
                <w:color w:val="222B33"/>
                <w:sz w:val="18"/>
              </w:rPr>
            </w:r>
            <w:r>
              <w:rPr>
                <w:color w:val="222B33"/>
                <w:sz w:val="18"/>
              </w:rPr>
              <w:t>Walk through concrete offerings: on-prem, RBAC, audit trail; don't overclaim certifications not yet obtained</w:t>
            </w:r>
          </w:p>
        </w:tc>
        <w:tc>
          <w:tcPr>
            <w:tcW w:type="dxa" w:w="1882"/>
            <w:shd w:val="clear" w:color="auto" w:fill="EAF6F5"/>
          </w:tcPr>
          <w:p>
            <w:r>
              <w:rPr>
                <w:color w:val="222B33"/>
                <w:sz w:val="18"/>
              </w:rPr>
            </w:r>
            <w:r>
              <w:rPr>
                <w:color w:val="222B33"/>
                <w:sz w:val="18"/>
              </w:rPr>
              <w:t>RBAC + mandatory-note audit trail is a real, demoable feature</w:t>
            </w:r>
          </w:p>
        </w:tc>
        <w:tc>
          <w:tcPr>
            <w:tcW w:type="dxa" w:w="1882"/>
            <w:shd w:val="clear" w:color="auto" w:fill="EAF6F5"/>
          </w:tcPr>
          <w:p>
            <w:r>
              <w:rPr>
                <w:color w:val="222B33"/>
                <w:sz w:val="18"/>
              </w:rPr>
            </w:r>
            <w:r>
              <w:rPr>
                <w:color w:val="222B33"/>
                <w:sz w:val="18"/>
              </w:rPr>
              <w:t>"Let's put your IT security questionnaire in front of us now, before the pilot"</w:t>
            </w:r>
          </w:p>
        </w:tc>
      </w:tr>
      <w:tr>
        <w:tc>
          <w:tcPr>
            <w:tcW w:type="dxa" w:w="1882"/>
          </w:tcPr>
          <w:p>
            <w:r>
              <w:rPr>
                <w:color w:val="222B33"/>
                <w:sz w:val="18"/>
              </w:rPr>
            </w:r>
            <w:r>
              <w:rPr>
                <w:color w:val="222B33"/>
                <w:sz w:val="18"/>
              </w:rPr>
              <w:t>"AI will make mistakes — can't have that in govt"</w:t>
            </w:r>
          </w:p>
        </w:tc>
        <w:tc>
          <w:tcPr>
            <w:tcW w:type="dxa" w:w="1882"/>
          </w:tcPr>
          <w:p>
            <w:r>
              <w:rPr>
                <w:color w:val="222B33"/>
                <w:sz w:val="18"/>
              </w:rPr>
            </w:r>
            <w:r>
              <w:rPr>
                <w:color w:val="222B33"/>
                <w:sz w:val="18"/>
              </w:rPr>
              <w:t>I don't trust a black box on citizen complaints I'm accountable for</w:t>
            </w:r>
          </w:p>
        </w:tc>
        <w:tc>
          <w:tcPr>
            <w:tcW w:type="dxa" w:w="1882"/>
          </w:tcPr>
          <w:p>
            <w:r>
              <w:rPr>
                <w:color w:val="222B33"/>
                <w:sz w:val="18"/>
              </w:rPr>
            </w:r>
            <w:r>
              <w:rPr>
                <w:color w:val="222B33"/>
                <w:sz w:val="18"/>
              </w:rPr>
              <w:t>Acknowledge, then reveal the deterministic rule-based fallback that runs when no LLM key/rubric is configured — genuinely admin-configurable, not a black box by default</w:t>
            </w:r>
          </w:p>
        </w:tc>
        <w:tc>
          <w:tcPr>
            <w:tcW w:type="dxa" w:w="1882"/>
          </w:tcPr>
          <w:p>
            <w:r>
              <w:rPr>
                <w:color w:val="222B33"/>
                <w:sz w:val="18"/>
              </w:rPr>
            </w:r>
            <w:r>
              <w:rPr>
                <w:color w:val="222B33"/>
                <w:sz w:val="18"/>
              </w:rPr>
              <w:t>Real deterministic weighted-engine fallback in the product, not marketing language</w:t>
            </w:r>
          </w:p>
        </w:tc>
        <w:tc>
          <w:tcPr>
            <w:tcW w:type="dxa" w:w="1882"/>
          </w:tcPr>
          <w:p>
            <w:r>
              <w:rPr>
                <w:color w:val="222B33"/>
                <w:sz w:val="18"/>
              </w:rPr>
            </w:r>
            <w:r>
              <w:rPr>
                <w:color w:val="222B33"/>
                <w:sz w:val="18"/>
              </w:rPr>
              <w:t>"Start the pilot on the deterministic rubric you define yourself; turn on AI-assisted scoring only once comfortable"</w:t>
            </w:r>
          </w:p>
        </w:tc>
      </w:tr>
      <w:tr>
        <w:tc>
          <w:tcPr>
            <w:tcW w:type="dxa" w:w="1882"/>
            <w:shd w:val="clear" w:color="auto" w:fill="EAF6F5"/>
          </w:tcPr>
          <w:p>
            <w:r>
              <w:rPr>
                <w:color w:val="222B33"/>
                <w:sz w:val="18"/>
              </w:rPr>
            </w:r>
            <w:r>
              <w:rPr>
                <w:color w:val="222B33"/>
                <w:sz w:val="18"/>
              </w:rPr>
              <w:t>"We'll need 3 quotes — can you do an L1?"</w:t>
            </w:r>
          </w:p>
        </w:tc>
        <w:tc>
          <w:tcPr>
            <w:tcW w:type="dxa" w:w="1882"/>
            <w:shd w:val="clear" w:color="auto" w:fill="EAF6F5"/>
          </w:tcPr>
          <w:p>
            <w:r>
              <w:rPr>
                <w:color w:val="222B33"/>
                <w:sz w:val="18"/>
              </w:rPr>
            </w:r>
            <w:r>
              <w:rPr>
                <w:color w:val="222B33"/>
                <w:sz w:val="18"/>
              </w:rPr>
              <w:t>Procurement rules require competitive quotes</w:t>
            </w:r>
          </w:p>
        </w:tc>
        <w:tc>
          <w:tcPr>
            <w:tcW w:type="dxa" w:w="1882"/>
            <w:shd w:val="clear" w:color="auto" w:fill="EAF6F5"/>
          </w:tcPr>
          <w:p>
            <w:r>
              <w:rPr>
                <w:color w:val="222B33"/>
                <w:sz w:val="18"/>
              </w:rPr>
            </w:r>
            <w:r>
              <w:rPr>
                <w:color w:val="222B33"/>
                <w:sz w:val="18"/>
              </w:rPr>
              <w:t>Don't chase an L1 race against Freshdesk/Zoho on a per-seat basis — reframe the Government Edition as a structurally distinct commercial vehicle</w:t>
            </w:r>
          </w:p>
        </w:tc>
        <w:tc>
          <w:tcPr>
            <w:tcW w:type="dxa" w:w="1882"/>
            <w:shd w:val="clear" w:color="auto" w:fill="EAF6F5"/>
          </w:tcPr>
          <w:p>
            <w:r>
              <w:rPr>
                <w:color w:val="222B33"/>
                <w:sz w:val="18"/>
              </w:rPr>
            </w:r>
            <w:r>
              <w:rPr>
                <w:color w:val="222B33"/>
                <w:sz w:val="18"/>
              </w:rPr>
              <w:t>Government Edition is not designed to be commoditised against generic helpdesk quotes</w:t>
            </w:r>
          </w:p>
        </w:tc>
        <w:tc>
          <w:tcPr>
            <w:tcW w:type="dxa" w:w="1882"/>
            <w:shd w:val="clear" w:color="auto" w:fill="EAF6F5"/>
          </w:tcPr>
          <w:p>
            <w:r>
              <w:rPr>
                <w:color w:val="222B33"/>
                <w:sz w:val="18"/>
              </w:rPr>
            </w:r>
            <w:r>
              <w:rPr>
                <w:color w:val="222B33"/>
                <w:sz w:val="18"/>
              </w:rPr>
              <w:t>"Support your 3-quote process on paper, but let's move the pilot in parallel under the officer-level threshold"</w:t>
            </w:r>
          </w:p>
        </w:tc>
      </w:tr>
      <w:tr>
        <w:tc>
          <w:tcPr>
            <w:tcW w:type="dxa" w:w="1882"/>
          </w:tcPr>
          <w:p>
            <w:r>
              <w:rPr>
                <w:color w:val="222B33"/>
                <w:sz w:val="18"/>
              </w:rPr>
            </w:r>
            <w:r>
              <w:rPr>
                <w:color w:val="222B33"/>
                <w:sz w:val="18"/>
              </w:rPr>
              <w:t xml:space="preserve">"Can we just try it free first?" </w:t>
            </w:r>
            <w:r>
              <w:rPr>
                <w:i/>
                <w:color w:val="222B33"/>
                <w:sz w:val="18"/>
              </w:rPr>
              <w:t>(added — see Process Notes)</w:t>
            </w:r>
          </w:p>
        </w:tc>
        <w:tc>
          <w:tcPr>
            <w:tcW w:type="dxa" w:w="1882"/>
          </w:tcPr>
          <w:p>
            <w:r>
              <w:rPr>
                <w:color w:val="222B33"/>
                <w:sz w:val="18"/>
              </w:rPr>
            </w:r>
            <w:r>
              <w:rPr>
                <w:color w:val="222B33"/>
                <w:sz w:val="18"/>
              </w:rPr>
              <w:t>We want the low-commitment option we've maybe seen mentioned elsewhere for another segment</w:t>
            </w:r>
          </w:p>
        </w:tc>
        <w:tc>
          <w:tcPr>
            <w:tcW w:type="dxa" w:w="1882"/>
          </w:tcPr>
          <w:p>
            <w:r>
              <w:rPr>
                <w:color w:val="222B33"/>
                <w:sz w:val="18"/>
              </w:rPr>
            </w:r>
            <w:r>
              <w:rPr>
                <w:color w:val="222B33"/>
                <w:sz w:val="18"/>
              </w:rPr>
              <w:t>Explain UniServe runs a fixed-fee, fixed-scope pilot deliberately, not an open trial — both sides know what "success" means on day one and it never drifts into a permanent free deployment</w:t>
            </w:r>
          </w:p>
        </w:tc>
        <w:tc>
          <w:tcPr>
            <w:tcW w:type="dxa" w:w="1882"/>
          </w:tcPr>
          <w:p>
            <w:r>
              <w:rPr>
                <w:color w:val="222B33"/>
                <w:sz w:val="18"/>
              </w:rPr>
            </w:r>
            <w:r>
              <w:rPr>
                <w:color w:val="222B33"/>
                <w:sz w:val="18"/>
              </w:rPr>
              <w:t>The capped trial that exists is scoped only to the tertiary e-commerce/telecom segment, never govt/BFSI — the pilot SOW is the equivalent offer here</w:t>
            </w:r>
          </w:p>
        </w:tc>
        <w:tc>
          <w:tcPr>
            <w:tcW w:type="dxa" w:w="1882"/>
          </w:tcPr>
          <w:p>
            <w:r>
              <w:rPr>
                <w:color w:val="222B33"/>
                <w:sz w:val="18"/>
              </w:rPr>
            </w:r>
            <w:r>
              <w:rPr>
                <w:color w:val="222B33"/>
                <w:sz w:val="18"/>
              </w:rPr>
              <w:t>Redirect to the pilot SOW and its written success criteria</w:t>
            </w:r>
          </w:p>
        </w:tc>
      </w:tr>
    </w:tbl>
    <w:p/>
    <w:p>
      <w:pPr>
        <w:spacing w:before="320" w:after="160"/>
        <w:pStyle w:val="Heading2"/>
        <w:keepNext/>
        <w:pBdr>
          <w:bottom w:val="single" w:sz="6" w:space="4" w:color="B7E4E0"/>
        </w:pBdr>
      </w:pPr>
      <w:r>
        <w:rPr>
          <w:rFonts w:ascii="Calibri" w:hAnsi="Calibri"/>
          <w:b/>
          <w:color w:val="028090"/>
          <w:sz w:val="30"/>
        </w:rPr>
        <w:t>4.6 Sales Motion Recommendation</w:t>
      </w:r>
    </w:p>
    <w:p>
      <w:r>
        <w:rPr>
          <w:b/>
          <w:color w:val="222B33"/>
          <w:sz w:val="21"/>
        </w:rPr>
        <w:t>Inside vs. field sales:</w:t>
      </w:r>
      <w:r>
        <w:rPr>
          <w:color w:val="222B33"/>
          <w:sz w:val="21"/>
        </w:rPr>
        <w:t xml:space="preserve"> Government Utilities — field visits required for first meeting and pilot-scoping (this buyer needs in-person trust-building for a 9-18mo/6mo-pilot cycle). BFSI mid-market — hybrid, first meeting can be remote, security review/final commercial conversation benefit from an in-person visit. Healthcare — remote-first given lower Phase 1-2 deal expectation. Private e-comm/telecom — fully remote/self-serve, no field visit justified given IMS deprioritisation.</w:t>
      </w:r>
    </w:p>
    <w:p>
      <w:r>
        <w:rPr>
          <w:b/>
          <w:color w:val="222B33"/>
          <w:sz w:val="21"/>
        </w:rPr>
        <w:t>First hire:</w:t>
      </w:r>
      <w:r>
        <w:rPr>
          <w:color w:val="222B33"/>
          <w:sz w:val="21"/>
        </w:rPr>
        <w:t xml:space="preserve"> A generalist with govt/PSU sales DNA specifically (not generic SaaS AE background) — must run the entire beachhead motion solo (prospecting, procurement navigation, pilot scoping, BFSI opportunistic follow-up) given the seed-stage team. A dedicated non-founder govt/enterprise sales lead is the Phase 2 hire once deal volume justifies specialisation.</w:t>
      </w:r>
    </w:p>
    <w:p>
      <w:r>
        <w:rPr>
          <w:b/>
          <w:color w:val="222B33"/>
          <w:sz w:val="21"/>
        </w:rPr>
        <w:t>Sales cycle management:</w:t>
      </w:r>
      <w:r>
        <w:rPr>
          <w:color w:val="222B33"/>
          <w:sz w:val="21"/>
        </w:rPr>
        <w:t xml:space="preserve"> Govt 9-18mo full-cycle/~6mo pilot-first; BFSI mid-market 4-8mo; Healthcare variable (treat like BFSI cycle length until Phase 1-2 data exists). Keep govt deals alive: structure entry under the officer-level (~₹5L) threshold; maintain a low-effort recurring touchpoint (monthly check-in, quarterly regulatory-update email); cultivate the internal champion with an internal-justification document they can carry unaccompanied; track fiscal-year-end dates per account. CRM fields per deal: segment, buyer persona/champion name-role, current procurement stage, sanction threshold, pilot status/fee/dates, written success criteria (linked), fiscal-year-end, procurement path, competitors mentioned, on-prem-vs-cloud requirement, next committed action with a hard date.</w:t>
      </w:r>
    </w:p>
    <w:p>
      <w:r>
        <w:rPr>
          <w:b/>
          <w:color w:val="222B33"/>
          <w:sz w:val="21"/>
        </w:rPr>
        <w:t>First 3 sales hires:</w:t>
      </w:r>
      <w:r>
        <w:rPr>
          <w:color w:val="222B33"/>
          <w:sz w:val="21"/>
        </w:rPr>
        <w:t xml:space="preserve"> (1) Govt/PSU Enterprise Sales Lead — prior PSU/discom/govt-IT sales experience (SI-adjacent or govtech-startup background), owns the entire TN beachhead motion end-to-end through Phase 1. (2, Phase 2) BFSI Mid-Market AE — compliance/ops software background selling into NBFCs/SFBs/coop banks, runs BFSI expansion once Phase 1 milestone is hit. (3, Phase 2) Customer Success/Pilot-to-Contract Specialist — technical-enough to run pilot onboarding and success-criteria tracking, sales-literate enough to convert pilots within the 30-day credit window; frees the AEs to keep prospecting.</w:t>
      </w:r>
    </w:p>
    <w:p>
      <w:pPr>
        <w:spacing w:before="320" w:after="160"/>
        <w:pStyle w:val="Heading1"/>
        <w:keepNext/>
        <w:pBdr>
          <w:bottom w:val="single" w:sz="14" w:space="4" w:color="028090"/>
        </w:pBdr>
      </w:pPr>
      <w:r>
        <w:rPr>
          <w:rFonts w:ascii="Calibri" w:hAnsi="Calibri"/>
          <w:b/>
          <w:color w:val="0D1B2A"/>
          <w:sz w:val="40"/>
        </w:rPr>
        <w:t>5. Lead Generation &amp; Nurture</w:t>
      </w:r>
    </w:p>
    <w:p>
      <w:pPr>
        <w:spacing w:before="320" w:after="160"/>
        <w:pStyle w:val="Heading2"/>
        <w:keepNext/>
        <w:pBdr>
          <w:bottom w:val="single" w:sz="6" w:space="4" w:color="B7E4E0"/>
        </w:pBdr>
      </w:pPr>
      <w:r>
        <w:rPr>
          <w:rFonts w:ascii="Calibri" w:hAnsi="Calibri"/>
          <w:b/>
          <w:color w:val="028090"/>
          <w:sz w:val="30"/>
        </w:rPr>
        <w:t>5.1 Lead Generation Engine (top 3 — 3 discarded with reasoning)</w:t>
      </w:r>
    </w:p>
    <w:p>
      <w:r>
        <w:rPr>
          <w:b/>
          <w:color w:val="222B33"/>
          <w:sz w:val="21"/>
        </w:rPr>
        <w:t>Discarded:</w:t>
      </w:r>
      <w:r>
        <w:rPr>
          <w:color w:val="222B33"/>
          <w:sz w:val="21"/>
        </w:rPr>
        <w:t xml:space="preserve"> (a) Inbound content→SEO→demo request as a </w:t>
      </w:r>
      <w:r>
        <w:rPr>
          <w:i/>
          <w:color w:val="222B33"/>
          <w:sz w:val="21"/>
        </w:rPr>
        <w:t>standalone</w:t>
      </w:r>
      <w:r>
        <w:rPr>
          <w:color w:val="222B33"/>
          <w:sz w:val="21"/>
        </w:rPr>
        <w:t xml:space="preserve"> engine — govt/BFSI buyers don't self-serve-discover at this category-maturity stage, and SEO's 6-12 month compounding horizon exceeds Phase 1's 6-month kill-criteria window. </w:t>
      </w:r>
      <w:r>
        <w:rPr>
          <w:b/>
          <w:color w:val="222B33"/>
          <w:sz w:val="21"/>
        </w:rPr>
        <w:t>Adjudicated (see Process Notes): retained only as a subordinate, incremental-cost-free line reported under Engine 3's dashboard block (compliance content is the same asset feeding Engine 3's outbound credibility) — tracked with a kill-threshold for information only, never as evidence in the Phase 1 Month-6 go/no-go decision, and never funded as separate incremental spend.</w:t>
      </w:r>
      <w:r>
        <w:rPr>
          <w:color w:val="222B33"/>
          <w:sz w:val="21"/>
        </w:rPr>
        <w:t xml:space="preserve"> (b) Event→follow-up→pilot offer as a </w:t>
      </w:r>
      <w:r>
        <w:rPr>
          <w:i/>
          <w:color w:val="222B33"/>
          <w:sz w:val="21"/>
        </w:rPr>
        <w:t>standalone</w:t>
      </w:r>
      <w:r>
        <w:rPr>
          <w:color w:val="222B33"/>
          <w:sz w:val="21"/>
        </w:rPr>
        <w:t xml:space="preserve"> engine — seed-stage UniServe has no existing audience to convene; folded into the community strategy (Section 6) instead of scaled as a lead-volume engine. (c) Partner referral (SI channel) — the IMS itself states an SI partnership's first closed deal lags 2-3 quarters after signing and only begins in Phase 2; Y1 attention here would misallocate against the IMS's own timeline.</w:t>
      </w:r>
    </w:p>
    <w:p>
      <w:r>
        <w:rPr>
          <w:b/>
          <w:color w:val="222B33"/>
          <w:sz w:val="21"/>
        </w:rPr>
        <w:t>Engine 1 — "The IIT Pravartak Pilot Bridge"</w:t>
      </w:r>
      <w:r>
        <w:rPr>
          <w:color w:val="222B33"/>
          <w:sz w:val="21"/>
        </w:rPr>
        <w:t xml:space="preserve"> (academic → pilot → paid). Mechanics: leverage the academic affiliation for warm introductions to state e-governance cells/discom CGM-IT offices/municipal IT heads, framed as an "applied research pilot collaboration" (lower perceived risk than a cold commercial pitch). Qualification signal: a named budget-authority individual takes a scoping call AND can name a specific candidate pilot unit. Volume: 2-4 qualified intros/month, Months 1-6 (a first-mover unlock, not a steady-state channel). Cost: ₹0-15,000/qualified lead (founder/BD time). Time to activate: 2-4 weeks.</w:t>
      </w:r>
    </w:p>
    <w:p>
      <w:r>
        <w:rPr>
          <w:b/>
          <w:color w:val="222B33"/>
          <w:sz w:val="21"/>
        </w:rPr>
        <w:t>Engine 2 — "GovTech Sandbox &amp; Challenge Circuit."</w:t>
      </w:r>
      <w:r>
        <w:rPr>
          <w:color w:val="222B33"/>
          <w:sz w:val="21"/>
        </w:rPr>
        <w:t xml:space="preserve"> Mechanics: enter state e-governance/GovTech challenges and Smart Cities-adjacent innovation cohorts; a lead enters when shortlisted and a demo-day department rep requests follow-up — the exact route to the innovation-sandbox budget the IMS flags as a reference-customer-problem mitigant. Qualification signal: external shortlisting AND a specific official requesting follow-up. Volume: 3-6 qualified departmental leads/month at steady state from Month 4-6. Cost: ₹5,000-25,000/qualified lead. Time to activate: 6-10 weeks (quarterly cycles).</w:t>
      </w:r>
    </w:p>
    <w:p>
      <w:r>
        <w:rPr>
          <w:b/>
          <w:color w:val="222B33"/>
          <w:sz w:val="21"/>
        </w:rPr>
        <w:t>Engine 3 — "BFSI LinkedIn Precision Outbound"</w:t>
      </w:r>
      <w:r>
        <w:rPr>
          <w:color w:val="222B33"/>
          <w:sz w:val="21"/>
        </w:rPr>
        <w:t xml:space="preserve"> (includes subordinate compliance-content/SEO reporting, see above). Mechanics: hand-picked target list from the ~600-800 addressable NBFC/SFB/coop-bank orgs; sequence connection request (referencing RBI Ombudsman pain) → 1:1 message → compliance one-pager → demo ask, 15-20 accounts/week curated (not mass outreach). Qualification signal: replies AND agrees to a call AND unprompted names their current RBI CMS filing pain. Volume: 15-25 qualified leads/month at steady state from Month 3. Cost: ₹3,000-8,000/qualified lead. Time to activate: 1-2 weeks (fastest to stand up).</w:t>
      </w:r>
    </w:p>
    <w:p>
      <w:pPr>
        <w:spacing w:before="320" w:after="160"/>
        <w:pStyle w:val="Heading2"/>
        <w:keepNext/>
        <w:pBdr>
          <w:bottom w:val="single" w:sz="6" w:space="4" w:color="B7E4E0"/>
        </w:pBdr>
      </w:pPr>
      <w:r>
        <w:rPr>
          <w:rFonts w:ascii="Calibri" w:hAnsi="Calibri"/>
          <w:b/>
          <w:color w:val="028090"/>
          <w:sz w:val="30"/>
        </w:rPr>
        <w:t>5.2 Lead Scoring Model</w:t>
      </w:r>
    </w:p>
    <w:p>
      <w:r>
        <w:rPr>
          <w:b/>
          <w:color w:val="222B33"/>
          <w:sz w:val="21"/>
        </w:rPr>
        <w:t>Firmographic (fit):</w:t>
      </w:r>
      <w:r>
        <w:rPr>
          <w:color w:val="222B33"/>
          <w:sz w:val="21"/>
        </w:rPr>
        <w:t xml:space="preserve"> Government utility +25, BFSI mid-market (NBFC/SFB/cooperative bank specifically) +15, Healthcare hospital chain +12, E-commerce/retail +3, </w:t>
      </w:r>
      <w:r>
        <w:rPr>
          <w:b/>
          <w:color w:val="222B33"/>
          <w:sz w:val="21"/>
        </w:rPr>
        <w:t>Scheduled/large commercial bank +0 — routed to a long-cycle nurture-only track, not eligible for SQL status in Y1</w:t>
      </w:r>
      <w:r>
        <w:rPr>
          <w:color w:val="222B33"/>
          <w:sz w:val="21"/>
        </w:rPr>
        <w:t xml:space="preserve"> </w:t>
      </w:r>
      <w:r>
        <w:rPr>
          <w:i/>
          <w:color w:val="222B33"/>
          <w:sz w:val="21"/>
        </w:rPr>
        <w:t>(adjudicated correction — see Process Notes; the original draft incorrectly scored all "BFSI" at +15 regardless of size, which would have let a large-bank lead earn the same fit score as a mid-market NBFC despite the IMS explicitly excluding large banks from the faster secondary-segment cycle)</w:t>
      </w:r>
      <w:r>
        <w:rPr>
          <w:color w:val="222B33"/>
          <w:sz w:val="21"/>
        </w:rPr>
        <w:t xml:space="preserve">, Telecom </w:t>
      </w:r>
      <w:r>
        <w:rPr>
          <w:b/>
          <w:color w:val="222B33"/>
          <w:sz w:val="21"/>
        </w:rPr>
        <w:t>−15</w:t>
      </w:r>
      <w:r>
        <w:rPr>
          <w:color w:val="222B33"/>
          <w:sz w:val="21"/>
        </w:rPr>
        <w:t>, Phase 1/2 target state (TN/Karnataka/Maharashtra/Gujarat) +10, Org scale ≥10 agents/100+ employees +8, English-comfortable/metro-adjacent +5, Active regulatory trigger (SERC audit due, RBI circular, NABH survey scheduled) +15, Confirmed officer-level budget authority +10.</w:t>
      </w:r>
    </w:p>
    <w:p>
      <w:r>
        <w:rPr>
          <w:b/>
          <w:color w:val="222B33"/>
          <w:sz w:val="21"/>
        </w:rPr>
        <w:t>Behavioural (intent):</w:t>
      </w:r>
      <w:r>
        <w:rPr>
          <w:color w:val="222B33"/>
          <w:sz w:val="21"/>
        </w:rPr>
        <w:t xml:space="preserve"> Demo request +50, Pilot proposal/RFP participation requested +60, Replied to LinkedIn outbound with articulated pain +30, Visited pricing page 2+ times +25, Attended live webinar +20, Downloaded compliance dossier +20, Multiple stakeholders from same org engaging +20, Attended flagship in-person event +35, Downloaded case study/benchmarking teaser +15, Joined community +10, Webinar no-show +5, No engagement in 60 days </w:t>
      </w:r>
      <w:r>
        <w:rPr>
          <w:b/>
          <w:color w:val="222B33"/>
          <w:sz w:val="21"/>
        </w:rPr>
        <w:t>−15</w:t>
      </w:r>
      <w:r>
        <w:rPr>
          <w:color w:val="222B33"/>
          <w:sz w:val="21"/>
        </w:rPr>
        <w:t xml:space="preserve"> (decay).</w:t>
      </w:r>
    </w:p>
    <w:p>
      <w:r>
        <w:rPr>
          <w:b/>
          <w:color w:val="222B33"/>
          <w:sz w:val="21"/>
        </w:rPr>
        <w:t>Thresholds:</w:t>
      </w:r>
      <w:r>
        <w:rPr>
          <w:color w:val="222B33"/>
          <w:sz w:val="21"/>
        </w:rPr>
        <w:t xml:space="preserve"> MQL = Fit ≥15 AND Intent ≥35. SQL = Fit ≥25 AND Intent ≥65 (sales-accepted, handed to BD for a pilot conversation).</w:t>
      </w:r>
    </w:p>
    <w:p>
      <w:r>
        <w:rPr>
          <w:b/>
          <w:color w:val="222B33"/>
          <w:sz w:val="21"/>
        </w:rPr>
        <w:t>Worked checks:</w:t>
      </w:r>
      <w:r>
        <w:rPr>
          <w:color w:val="222B33"/>
          <w:sz w:val="21"/>
        </w:rPr>
        <w:t xml:space="preserve"> Govt utility in TN with an active CGRF trigger requesting a demo → Fit 50, Intent 50 → SQL immediately. BFSI mid-market (NBFC) downloading one case study only → Fit 25 (govt utility) or 15+10=25 for NBFC-in-target-state (MQL-eligible), Intent 15 (below threshold) → not yet MQL. A </w:t>
      </w:r>
      <w:r>
        <w:rPr>
          <w:b/>
          <w:color w:val="222B33"/>
          <w:sz w:val="21"/>
        </w:rPr>
        <w:t>scheduled commercial (large) bank</w:t>
      </w:r>
      <w:r>
        <w:rPr>
          <w:color w:val="222B33"/>
          <w:sz w:val="21"/>
        </w:rPr>
        <w:t xml:space="preserve"> requesting a demo → Fit 0 (routed to nurture-only, no SQL path) despite high intent (50) — the corrected mechanism that stops sales chasing an excluded segment regardless of engagement. Telecom/e-commerce attending a webinar and downloading a case study → Fit fails (3 or −15) despite Intent 35 — tertiary/deprioritised segments cannot MQL on engagement alone.</w:t>
      </w:r>
    </w:p>
    <w:p>
      <w:pPr>
        <w:spacing w:before="320" w:after="160"/>
        <w:pStyle w:val="Heading2"/>
        <w:keepNext/>
        <w:pBdr>
          <w:bottom w:val="single" w:sz="6" w:space="4" w:color="B7E4E0"/>
        </w:pBdr>
      </w:pPr>
      <w:r>
        <w:rPr>
          <w:rFonts w:ascii="Calibri" w:hAnsi="Calibri"/>
          <w:b/>
          <w:color w:val="028090"/>
          <w:sz w:val="30"/>
        </w:rPr>
        <w:t>5.3 Nurture Sequences</w:t>
      </w:r>
    </w:p>
    <w:p>
      <w:r>
        <w:rPr>
          <w:color w:val="222B33"/>
          <w:sz w:val="21"/>
        </w:rPr>
        <w:t>India-appropriate send window: Tue-Thu, 10:30-11:30 IST (avoiding Monday inbox-triage and Friday afternoon check-out).</w:t>
      </w:r>
    </w:p>
    <w:p>
      <w:r>
        <w:rPr>
          <w:b/>
          <w:color w:val="222B33"/>
          <w:sz w:val="21"/>
        </w:rPr>
        <w:t>Sequence A — Inbound lead (6 emails, Day 0/3/7/14/21/35):</w:t>
      </w:r>
    </w:p>
    <w:p>
      <w:pPr>
        <w:pStyle w:val="ListNumber"/>
      </w:pPr>
      <w:r>
        <w:rPr>
          <w:color w:val="222B33"/>
          <w:sz w:val="21"/>
        </w:rPr>
        <w:t>(Day 0) "Your [dossier/recording] — and the stat worth sitting with" — deliver asset + the 30-40% duplicate-ticket stat. CTA: skim page 4.</w:t>
      </w:r>
    </w:p>
    <w:p>
      <w:pPr>
        <w:pStyle w:val="ListNumber"/>
      </w:pPr>
      <w:r>
        <w:rPr>
          <w:color w:val="222B33"/>
          <w:sz w:val="21"/>
        </w:rPr>
        <w:t>(Day 3, Tue/Wed 10:30) "Why one complaint becomes three tickets" — the multi-channel-dedup pattern. CTA: one-line yes/no reply.</w:t>
      </w:r>
    </w:p>
    <w:p>
      <w:pPr>
        <w:pStyle w:val="ListNumber"/>
      </w:pPr>
      <w:r>
        <w:rPr>
          <w:color w:val="222B33"/>
          <w:sz w:val="21"/>
        </w:rPr>
        <w:t>(Day 7, Wed 11:00) "What this looks like on live government-adjacent data" — the demo video, framed strictly as a PMF demonstration, not a customer claim. CTA: watch 3-min demo.</w:t>
      </w:r>
    </w:p>
    <w:p>
      <w:pPr>
        <w:pStyle w:val="ListNumber"/>
      </w:pPr>
      <w:r>
        <w:rPr>
          <w:color w:val="222B33"/>
          <w:sz w:val="21"/>
        </w:rPr>
        <w:t>(Day 14, Tue 10:30) "Worth 20 minutes on your own ticket categories?" — offer to run the demo against the prospect's actual taxonomy. CTA: book a 20-min slot.</w:t>
      </w:r>
    </w:p>
    <w:p>
      <w:pPr>
        <w:pStyle w:val="ListNumber"/>
      </w:pPr>
      <w:r>
        <w:rPr>
          <w:color w:val="222B33"/>
          <w:sz w:val="21"/>
        </w:rPr>
        <w:t>(Day 21, Thu 10:30) "One question CIOs keep asking us" — the CPGRAMS-coexistence question. CTA: download the compliance one-pager.</w:t>
      </w:r>
    </w:p>
    <w:p>
      <w:pPr>
        <w:pStyle w:val="ListNumber"/>
      </w:pPr>
      <w:r>
        <w:rPr>
          <w:color w:val="222B33"/>
          <w:sz w:val="21"/>
        </w:rPr>
        <w:t>(Day 35, Tue 11:00) "Should I stop emailing?" — direct, low-pressure close. CTA: reply "keep me posted" / "not now" / unsubscribe.</w:t>
      </w:r>
    </w:p>
    <w:p>
      <w:r>
        <w:rPr>
          <w:b/>
          <w:color w:val="222B33"/>
          <w:sz w:val="21"/>
        </w:rPr>
        <w:t>Sequence B — Post-demo, no decision (3 emails, Weeks 1/2-3/4):</w:t>
      </w:r>
    </w:p>
    <w:p>
      <w:pPr>
        <w:pStyle w:val="ListNumber"/>
      </w:pPr>
      <w:r>
        <w:rPr>
          <w:color w:val="222B33"/>
          <w:sz w:val="21"/>
        </w:rPr>
        <w:t>(Week 1, Wed 10:30) "Recap + the one number from our call" — send recording + indicative ROI summary. CTA: reply with the actual blocker (budget/timing/review).</w:t>
      </w:r>
    </w:p>
    <w:p>
      <w:pPr>
        <w:pStyle w:val="ListNumber"/>
      </w:pPr>
      <w:r>
        <w:rPr>
          <w:color w:val="222B33"/>
          <w:sz w:val="21"/>
        </w:rPr>
        <w:t>(Week 2-3, Tue 10:30) "An update since we last spoke" — share genuine momentum (a cohort shortlisting, a pilot underway, a shipped feature). CTA: soft, no explicit ask.</w:t>
      </w:r>
    </w:p>
    <w:p>
      <w:pPr>
        <w:pStyle w:val="ListNumber"/>
      </w:pPr>
      <w:r>
        <w:rPr>
          <w:color w:val="222B33"/>
          <w:sz w:val="21"/>
        </w:rPr>
        <w:t>(Week 4, Thu 11:00) "Still the right time — or should I check back later?" — respectful close with a timeframe ask. No further emails until the prospect responds.</w:t>
      </w:r>
    </w:p>
    <w:p>
      <w:pPr>
        <w:spacing w:before="320" w:after="160"/>
        <w:pStyle w:val="Heading2"/>
        <w:keepNext/>
        <w:pBdr>
          <w:bottom w:val="single" w:sz="6" w:space="4" w:color="B7E4E0"/>
        </w:pBdr>
      </w:pPr>
      <w:r>
        <w:rPr>
          <w:rFonts w:ascii="Calibri" w:hAnsi="Calibri"/>
          <w:b/>
          <w:color w:val="028090"/>
          <w:sz w:val="30"/>
        </w:rPr>
        <w:t>5.4 MQL → SQL Conversion Criteria</w:t>
      </w:r>
    </w:p>
    <w:p>
      <w:r>
        <w:rPr>
          <w:color w:val="222B33"/>
          <w:sz w:val="21"/>
        </w:rPr>
        <w:t>Per the scoring model in 5.2 — an MQL becomes an SQL when Fit ≥25 AND Intent ≥65, at which point sales takes over for pilot-scoping conversation ownership (see CRM fields in 4.6). Scheduled/large commercial bank leads never enter this path regardless of score (Section 5.2).</w:t>
      </w:r>
    </w:p>
    <w:p>
      <w:pPr>
        <w:spacing w:before="320" w:after="160"/>
        <w:pStyle w:val="Heading1"/>
        <w:keepNext/>
        <w:pBdr>
          <w:bottom w:val="single" w:sz="14" w:space="4" w:color="028090"/>
        </w:pBdr>
      </w:pPr>
      <w:r>
        <w:rPr>
          <w:rFonts w:ascii="Calibri" w:hAnsi="Calibri"/>
          <w:b/>
          <w:color w:val="0D1B2A"/>
          <w:sz w:val="40"/>
        </w:rPr>
        <w:t>6. Community &amp; Partnership</w:t>
      </w:r>
    </w:p>
    <w:p>
      <w:pPr>
        <w:spacing w:before="320" w:after="160"/>
        <w:pStyle w:val="Heading2"/>
        <w:keepNext/>
        <w:pBdr>
          <w:bottom w:val="single" w:sz="6" w:space="4" w:color="B7E4E0"/>
        </w:pBdr>
      </w:pPr>
      <w:r>
        <w:rPr>
          <w:rFonts w:ascii="Calibri" w:hAnsi="Calibri"/>
          <w:b/>
          <w:color w:val="028090"/>
          <w:sz w:val="30"/>
        </w:rPr>
        <w:t>6.1 User Community Strategy</w:t>
      </w:r>
    </w:p>
    <w:p>
      <w:r>
        <w:rPr>
          <w:b/>
          <w:color w:val="222B33"/>
          <w:sz w:val="21"/>
        </w:rPr>
        <w:t>Platform: a curated, invite-only WhatsApp Group</w:t>
      </w:r>
      <w:r>
        <w:rPr>
          <w:color w:val="222B33"/>
          <w:sz w:val="21"/>
        </w:rPr>
        <w:t xml:space="preserve"> ("India GovCX Network"), capped at 80-100 members, tightly moderated — chosen over LinkedIn Groups (functionally dead under LinkedIn's algorithm), Slack (startup-culture friction inappropriate for senior officials), and Discourse (unfamiliar UX, second login) because WhatsApp is where this exact persona already operates professionally in India and is how govt buyers actually reference-check (informal peer networks, not published case studies, per the IMS). Supplementary: a LinkedIn Newsletter (distinct from a Group) for passive outer-ring visibility, plus a monthly email digest.</w:t>
      </w:r>
    </w:p>
    <w:p>
      <w:r>
        <w:rPr>
          <w:b/>
          <w:color w:val="222B33"/>
          <w:sz w:val="21"/>
        </w:rPr>
        <w:t>Positioning:</w:t>
      </w:r>
      <w:r>
        <w:rPr>
          <w:color w:val="222B33"/>
          <w:sz w:val="21"/>
        </w:rPr>
        <w:t xml:space="preserve"> a category community, not "UniServe Users" — UniServe is the founding sponsor/secretariat, not the visible brand, preserving credibility with a peer-network-sensitive audience.</w:t>
      </w:r>
    </w:p>
    <w:p>
      <w:r>
        <w:rPr>
          <w:b/>
          <w:color w:val="222B33"/>
          <w:sz w:val="21"/>
        </w:rPr>
        <w:t>Launch (50 founding members):</w:t>
      </w:r>
      <w:r>
        <w:rPr>
          <w:color w:val="222B33"/>
          <w:sz w:val="21"/>
        </w:rPr>
        <w:t xml:space="preserve"> seeded from Engine 1 (IIT Pravartak network) and Engine 2 (GovTech challenge cohort peers), both already trusting an academic/credibility frame. Personal, named 1:1 invites from founders over Months 1-3 (not a mass link), each stating a specific relevance reason. Seed 3-5 anchor figures with outsized credibility early (retired SERC official, academic advisor) so cold invitees join faster seeing recognisable peers already inside. Founding-member perks: named recognition, first access to the peer-benchmarking report, first invite to the flagship event, product-roadmap input. Founders post 2-3 substantive insights/week in month one before asking members for anything.</w:t>
      </w:r>
    </w:p>
    <w:p>
      <w:r>
        <w:rPr>
          <w:b/>
          <w:color w:val="222B33"/>
          <w:sz w:val="21"/>
        </w:rPr>
        <w:t>Content cadence:</w:t>
      </w:r>
      <w:r>
        <w:rPr>
          <w:color w:val="222B33"/>
          <w:sz w:val="21"/>
        </w:rPr>
        <w:t xml:space="preserve"> Monday regulatory/compliance digest (no vendor pitch); Thursday practitioner discussion prompt/poll; ad hoc peer Q&amp;A; monthly voice-note/video AMA with a guest; quarterly first-look at the benchmarking report.</w:t>
      </w:r>
    </w:p>
    <w:p>
      <w:r>
        <w:rPr>
          <w:b/>
          <w:color w:val="222B33"/>
          <w:sz w:val="21"/>
        </w:rPr>
        <w:t>Organic growth trigger:</w:t>
      </w:r>
      <w:r>
        <w:rPr>
          <w:color w:val="222B33"/>
          <w:sz w:val="21"/>
        </w:rPr>
        <w:t xml:space="preserve"> peer-forwarding of the Monday digest (WhatsApp forwarding is default professional-sharing behaviour in India) — growth deliberately gated behind "ask an existing member for the invite link" rather than an open link, a mild scarcity signal that accelerates rather than slows growth in this professional culture while filtering non-peers.</w:t>
      </w:r>
    </w:p>
    <w:p>
      <w:pPr>
        <w:spacing w:before="320" w:after="160"/>
        <w:pStyle w:val="Heading2"/>
        <w:keepNext/>
        <w:pBdr>
          <w:bottom w:val="single" w:sz="6" w:space="4" w:color="B7E4E0"/>
        </w:pBdr>
      </w:pPr>
      <w:r>
        <w:rPr>
          <w:rFonts w:ascii="Calibri" w:hAnsi="Calibri"/>
          <w:b/>
          <w:color w:val="028090"/>
          <w:sz w:val="30"/>
        </w:rPr>
        <w:t>6.2 Partner/Reseller Program Outline</w:t>
      </w:r>
    </w:p>
    <w:p>
      <w:r>
        <w:rPr>
          <w:b/>
          <w:color w:val="222B33"/>
          <w:sz w:val="21"/>
        </w:rPr>
        <w:t>SI sequencing:</w:t>
      </w:r>
      <w:r>
        <w:rPr>
          <w:color w:val="222B33"/>
          <w:sz w:val="21"/>
        </w:rPr>
        <w:t xml:space="preserve"> (1) Boutique govtech consultancies and state-level IT companies (e.g., ELCOT-type entities in TN and equivalents in Karnataka/Maharashtra/Gujarat) first — most nimble, fastest partner-agreement cycles, already embedded at the scale UniServe actually needs in Y1. (2) NIC — pursued in parallel as a slower relationship/positioning play (credibility and potential CPGRAMS-adjacent co-location), not a lead-volume source. (3) Big-3 SIs (TCS/Infosys/Wipro) — explicitly deferred to Phase 2/3, consistent with the IMS's own framing that these are slow partner processes not payable until 15-20 reference logos exist.</w:t>
      </w:r>
    </w:p>
    <w:p>
      <w:r>
        <w:rPr>
          <w:b/>
          <w:color w:val="222B33"/>
          <w:sz w:val="21"/>
        </w:rPr>
        <w:t>Programme structure:</w:t>
      </w:r>
      <w:r>
        <w:rPr>
          <w:color w:val="222B33"/>
          <w:sz w:val="21"/>
        </w:rPr>
        <w:t xml:space="preserve"> Referral-only partner — 15-20% recurring commission on referred ACV; UniServe provides certified training, enablement kit, co-branded collateral, deal-registration portal, dedicated partner-success contact; partner provides local relationships and deal-registration transparency. Implementation-reseller partner — 25-30% margin share (reflects delivery cost-bearing); partner additionally provides first-line implementation support and joint accountability on pilot success metrics. Channel-conflict avoidance: deal-registration-first rule (90-day protected exclusivity from a 30-day registration window), house accounts (community/IIT Pravartak/challenge-sourced leads) carved out as direct/non-channel, a single published price list, non-rigid "first-registered" territory protection.</w:t>
      </w:r>
    </w:p>
    <w:p>
      <w:pPr>
        <w:spacing w:before="320" w:after="160"/>
        <w:pStyle w:val="Heading2"/>
        <w:keepNext/>
        <w:pBdr>
          <w:bottom w:val="single" w:sz="6" w:space="4" w:color="B7E4E0"/>
        </w:pBdr>
      </w:pPr>
      <w:r>
        <w:rPr>
          <w:rFonts w:ascii="Calibri" w:hAnsi="Calibri"/>
          <w:b/>
          <w:color w:val="028090"/>
          <w:sz w:val="30"/>
        </w:rPr>
        <w:t>6.3 Events Strategy</w:t>
      </w:r>
    </w:p>
    <w:p>
      <w:r>
        <w:rPr>
          <w:b/>
          <w:color w:val="222B33"/>
          <w:sz w:val="21"/>
        </w:rPr>
        <w:t>In-person flagship (Y1):</w:t>
      </w:r>
      <w:r>
        <w:rPr>
          <w:color w:val="222B33"/>
          <w:sz w:val="21"/>
        </w:rPr>
        <w:t xml:space="preserve"> A half-day workshop ("Grievance SLA Compliance &amp; AI Workshop") — not a breakfast briefing (too short to justify senior travel time) nor a full innovation day (too resource-intensive for the ₹25-35L budget). Structure: regulatory-update session (with a guest AMA figure) + live product walkthrough + peer panel (advisory-board/pilot customers, not UniServe alone) + informal networking. Co-convene with an academic or GovTech-challenge partner so it doesn't read as a bare vendor sales event. </w:t>
      </w:r>
      <w:r>
        <w:rPr>
          <w:b/>
          <w:color w:val="222B33"/>
          <w:sz w:val="21"/>
        </w:rPr>
        <w:t>City: Chennai</w:t>
      </w:r>
      <w:r>
        <w:rPr>
          <w:color w:val="222B33"/>
          <w:sz w:val="21"/>
        </w:rPr>
        <w:t xml:space="preserve"> — justified purely by Phase 1 geography (TN is the stated beachhead, the founding team is TN-based, and the addressable ~200 govt-utility orgs skew south-Indian) — explicitly NOT based on any TNEB relationship, none exists commercially. Bangalore/Mumbai deferred to Year 2 once BFSI pipeline justifies a dedicated event there.</w:t>
      </w:r>
    </w:p>
    <w:p>
      <w:r>
        <w:rPr>
          <w:b/>
          <w:color w:val="222B33"/>
          <w:sz w:val="21"/>
        </w:rPr>
        <w:t>Online cadence:</w:t>
      </w:r>
      <w:r>
        <w:rPr>
          <w:color w:val="222B33"/>
          <w:sz w:val="21"/>
        </w:rPr>
        <w:t xml:space="preserve"> monthly 45-minute webinar (20 min regulatory briefing, 15 min product-in-context demo, 10 min Q&amp;A), rotating segment focus by quarter, promoted through the community and LinkedIn Newsletter only (no paid promotion).</w:t>
      </w:r>
    </w:p>
    <w:p>
      <w:r>
        <w:rPr>
          <w:b/>
          <w:color w:val="222B33"/>
          <w:sz w:val="21"/>
        </w:rPr>
        <w:t>External events to attend/speak at (per Section 3.7):</w:t>
      </w:r>
      <w:r>
        <w:rPr>
          <w:color w:val="222B33"/>
          <w:sz w:val="21"/>
        </w:rPr>
        <w:t xml:space="preserve"> distinct from the self-hosted Chennai workshop — a power/utility digital-transformation conclave or TN-specific e-governance conclave, sought as a speaking slot or small booth.</w:t>
      </w:r>
    </w:p>
    <w:p>
      <w:pPr>
        <w:spacing w:before="320" w:after="160"/>
        <w:pStyle w:val="Heading2"/>
        <w:keepNext/>
        <w:pBdr>
          <w:bottom w:val="single" w:sz="6" w:space="4" w:color="B7E4E0"/>
        </w:pBdr>
      </w:pPr>
      <w:r>
        <w:rPr>
          <w:rFonts w:ascii="Calibri" w:hAnsi="Calibri"/>
          <w:b/>
          <w:color w:val="028090"/>
          <w:sz w:val="30"/>
        </w:rPr>
        <w:t>6.4 Referral Program Mechanics</w:t>
      </w:r>
    </w:p>
    <w:p>
      <w:r>
        <w:rPr>
          <w:b/>
          <w:color w:val="222B33"/>
          <w:sz w:val="21"/>
        </w:rPr>
        <w:t>Government clients (no cash — procurement-ethics constraint):</w:t>
      </w:r>
      <w:r>
        <w:rPr>
          <w:color w:val="222B33"/>
          <w:sz w:val="21"/>
        </w:rPr>
        <w:t xml:space="preserve"> joint case study/co-branded results deck (directly serves the career-credit motivation the IMS identifies in govt champions); advisory board seat with roadmap input; priority access to next-phase channels (regional language, IVR) ahead of general rollout.</w:t>
      </w:r>
    </w:p>
    <w:p>
      <w:r>
        <w:rPr>
          <w:b/>
          <w:color w:val="222B33"/>
          <w:sz w:val="21"/>
        </w:rPr>
        <w:t>Private sector (BFSI mid-market, e-commerce):</w:t>
      </w:r>
      <w:r>
        <w:rPr>
          <w:color w:val="222B33"/>
          <w:sz w:val="21"/>
        </w:rPr>
        <w:t xml:space="preserve"> a modest account-credit referral (one month's platform fee waived, or a fixed ₹10,000-20,000 credit per closed referred deal) — kept as account-credit only, not cash-to-individual, since even BFSI referrers sit inside RBI-regulated entities with inducement sensitivity.</w:t>
      </w:r>
    </w:p>
    <w:p>
      <w:pPr>
        <w:spacing w:before="320" w:after="160"/>
        <w:pStyle w:val="Heading1"/>
        <w:keepNext/>
        <w:pBdr>
          <w:bottom w:val="single" w:sz="14" w:space="4" w:color="028090"/>
        </w:pBdr>
      </w:pPr>
      <w:r>
        <w:rPr>
          <w:rFonts w:ascii="Calibri" w:hAnsi="Calibri"/>
          <w:b/>
          <w:color w:val="0D1B2A"/>
          <w:sz w:val="40"/>
        </w:rPr>
        <w:t>7. Product-Led Growth</w:t>
      </w:r>
    </w:p>
    <w:p>
      <w:pPr>
        <w:spacing w:before="320" w:after="160"/>
        <w:pStyle w:val="Heading2"/>
        <w:keepNext/>
        <w:pBdr>
          <w:bottom w:val="single" w:sz="6" w:space="4" w:color="B7E4E0"/>
        </w:pBdr>
      </w:pPr>
      <w:r>
        <w:rPr>
          <w:rFonts w:ascii="Calibri" w:hAnsi="Calibri"/>
          <w:b/>
          <w:color w:val="028090"/>
          <w:sz w:val="30"/>
        </w:rPr>
        <w:t>7.1 PLG Loops Applicable to UniServe</w:t>
      </w:r>
    </w:p>
    <w:p>
      <w:r>
        <w:rPr>
          <w:b/>
          <w:color w:val="222B33"/>
          <w:sz w:val="21"/>
        </w:rPr>
        <w:t>Loop 1 — Citizen portal virality (brand-awareness infrastructure, not a signup loop):</w:t>
      </w:r>
      <w:r>
        <w:rPr>
          <w:color w:val="222B33"/>
          <w:sz w:val="21"/>
        </w:rPr>
        <w:t xml:space="preserve"> each tenant's public status-lookup portal carries a small, government-appropriate "Powered by UniServe" credit. The conversion path is NOT citizen-to-signup (inappropriate for a grievance tool) — it's passive brand recognition that pre-warms the next B2B conversation: a neighbouring CIO who's noticed "the new discom portal is actually good" arrives at the next sales conversation with a shorter credibility gap to close.</w:t>
      </w:r>
    </w:p>
    <w:p>
      <w:r>
        <w:rPr>
          <w:b/>
          <w:color w:val="222B33"/>
          <w:sz w:val="21"/>
        </w:rPr>
        <w:t>Loop 2 — Agent advocacy:</w:t>
      </w:r>
      <w:r>
        <w:rPr>
          <w:color w:val="222B33"/>
          <w:sz w:val="21"/>
        </w:rPr>
        <w:t xml:space="preserve"> front-line agents feel day-to-day workflow relief and are professionally mobile (govt/PSU staff transfer across departments/states; BFSI CX staff move across NBFCs). Accelerate via a shareable non-confidential "completed training" LinkedIn moment, small quarterly non-cash practitioner recognition, and routing advocate-driven referrals through the private-sector referral credit when an agent transfers organisations.</w:t>
      </w:r>
    </w:p>
    <w:p>
      <w:r>
        <w:rPr>
          <w:b/>
          <w:color w:val="222B33"/>
          <w:sz w:val="21"/>
        </w:rPr>
        <w:t>Loop 3 — Data insights pull (peer-benchmarking report):</w:t>
      </w:r>
      <w:r>
        <w:rPr>
          <w:color w:val="222B33"/>
          <w:sz w:val="21"/>
        </w:rPr>
        <w:t xml:space="preserve"> a monthly automated per-tenant report (resolution time, SLA-met %, dedup rate vs. an anonymised peer cohort, never naming peers without consent — the same non-disclosure discipline as the TNEB correction). Retention hook: this is literally the "results deck to present upward" that motivates govt champions. Prospecting hook: an anonymised industry-level version becomes a mid-funnel nurture asset and community content ("we'll show you your own benchmarks once you're in"). Until Month 6+ (enough live tenants), label this version explicitly indicative/industry-estimate.</w:t>
      </w:r>
    </w:p>
    <w:p>
      <w:pPr>
        <w:spacing w:before="320" w:after="160"/>
        <w:pStyle w:val="Heading2"/>
        <w:keepNext/>
        <w:pBdr>
          <w:bottom w:val="single" w:sz="6" w:space="4" w:color="B7E4E0"/>
        </w:pBdr>
      </w:pPr>
      <w:r>
        <w:rPr>
          <w:rFonts w:ascii="Calibri" w:hAnsi="Calibri"/>
          <w:b/>
          <w:color w:val="028090"/>
          <w:sz w:val="30"/>
        </w:rPr>
        <w:t>7.2 Freemium or Trial Strategy</w:t>
      </w:r>
    </w:p>
    <w:p>
      <w:r>
        <w:rPr>
          <w:b/>
          <w:color w:val="222B33"/>
          <w:sz w:val="21"/>
        </w:rPr>
        <w:t>Recommendation (adjudicated — see Process Notes): no free tier or open trial for the govt/BFSI/Healthcare motion — the 8-12 week at-cost paid pilot (₹50k-1L) remains the only offer for these segments.</w:t>
      </w:r>
      <w:r>
        <w:rPr>
          <w:color w:val="222B33"/>
          <w:sz w:val="21"/>
        </w:rPr>
        <w:t xml:space="preserve"> A free tier here would undercut the pilot's designed purpose of filtering genuine intent, reopen the "indefinite free extension" risk the IMS flags as near-universal in Indian govt/PSU culture, generate low-budget-authority leads burning the lean Y1 budget on unconvertible support cost, and undermine UniServe's mid-market-premium pricing architecture against the free CPGRAMS baseline.</w:t>
      </w:r>
    </w:p>
    <w:p>
      <w:r>
        <w:rPr>
          <w:b/>
          <w:color w:val="222B33"/>
          <w:sz w:val="21"/>
        </w:rPr>
        <w:t>For the tertiary e-commerce/telecom segment only:</w:t>
      </w:r>
      <w:r>
        <w:rPr>
          <w:color w:val="222B33"/>
          <w:sz w:val="21"/>
        </w:rPr>
        <w:t xml:space="preserve"> a narrow, hard-capped exception is appropriate and is now the standing offer — a </w:t>
      </w:r>
      <w:r>
        <w:rPr>
          <w:b/>
          <w:color w:val="222B33"/>
          <w:sz w:val="21"/>
        </w:rPr>
        <w:t>guided</w:t>
      </w:r>
      <w:r>
        <w:rPr>
          <w:color w:val="222B33"/>
          <w:sz w:val="21"/>
        </w:rPr>
        <w:t xml:space="preserve"> 14-day trial, capped at 1 agent seat and 100 tickets, with an automatic hard stop at day 14 (no "cancel anytime" language, no unattended self-serve access; a team member initiates and checks in on every trial so it still produces a real sales touchpoint). This offer is firewalled entirely from the govt/BFSI funnel — never linked from, or visible near, any govt/BFSI-facing page, campaign, or navigation path (Section 4.3).</w:t>
      </w:r>
    </w:p>
    <w:p>
      <w:pPr>
        <w:spacing w:before="320" w:after="160"/>
        <w:pStyle w:val="Heading2"/>
        <w:keepNext/>
        <w:pBdr>
          <w:bottom w:val="single" w:sz="6" w:space="4" w:color="B7E4E0"/>
        </w:pBdr>
      </w:pPr>
      <w:r>
        <w:rPr>
          <w:rFonts w:ascii="Calibri" w:hAnsi="Calibri"/>
          <w:b/>
          <w:color w:val="028090"/>
          <w:sz w:val="30"/>
        </w:rPr>
        <w:t>7.3 In-Product Growth Triggers</w:t>
      </w:r>
    </w:p>
    <w:p>
      <w:r>
        <w:rPr>
          <w:color w:val="222B33"/>
          <w:sz w:val="21"/>
        </w:rPr>
        <w:t>The citizen status-lookup portal's "Powered by UniServe" branding (Loop 1) and the monthly peer-benchmarking report (Loop 3) are the two concrete in-product mechanisms — both already exist or are lightweight to build on top of the current product's real analytics infrastructure, not hypothetical future features.</w:t>
      </w:r>
    </w:p>
    <w:p>
      <w:pPr>
        <w:spacing w:before="320" w:after="160"/>
        <w:pStyle w:val="Heading1"/>
        <w:keepNext/>
        <w:pBdr>
          <w:bottom w:val="single" w:sz="14" w:space="4" w:color="028090"/>
        </w:pBdr>
      </w:pPr>
      <w:r>
        <w:rPr>
          <w:rFonts w:ascii="Calibri" w:hAnsi="Calibri"/>
          <w:b/>
          <w:color w:val="0D1B2A"/>
          <w:sz w:val="40"/>
        </w:rPr>
        <w:t>8. Campaign Rollout Calendar</w:t>
      </w:r>
    </w:p>
    <w:p>
      <w:r>
        <w:rPr>
          <w:b/>
          <w:color w:val="222B33"/>
          <w:sz w:val="21"/>
        </w:rPr>
        <w:t>Months 1-3:</w:t>
      </w:r>
      <w:r>
        <w:rPr>
          <w:color w:val="222B33"/>
          <w:sz w:val="21"/>
        </w:rPr>
        <w:t xml:space="preserve"> Launch "State of Complaint Management in India" survey (Week 2) and content pillars (Section 3.6 Q1 calendar); activate Engine 1 (IIT Pravartak Pilot Bridge) and Engine 3 (BFSI LinkedIn Precision Outbound) immediately (both have 1-4 week activation times); begin GovTech Sandbox/Challenge Circuit applications (Engine 2, 6-10 week cycle so results land Month 4-6); Webinar 1 (Month 2-3).</w:t>
      </w:r>
    </w:p>
    <w:p>
      <w:r>
        <w:rPr>
          <w:b/>
          <w:color w:val="222B33"/>
          <w:sz w:val="21"/>
        </w:rPr>
        <w:t>Months 4-6:</w:t>
      </w:r>
      <w:r>
        <w:rPr>
          <w:color w:val="222B33"/>
          <w:sz w:val="21"/>
        </w:rPr>
        <w:t xml:space="preserve"> Publish full benchmark report as gated flagship asset; Webinar 2 (BFSI/RBI Ombudsman focus); first GovTech cohort demo-days begin producing qualified leads; push hardest toward the Phase 1 milestone (3 paying customers, ₹15-30L ARR) via pilot conversions from Engines 1-2; if a pilot converts near Month 5-6, fast-track the first real case study.</w:t>
      </w:r>
    </w:p>
    <w:p>
      <w:r>
        <w:rPr>
          <w:b/>
          <w:color w:val="222B33"/>
          <w:sz w:val="21"/>
        </w:rPr>
        <w:t>Months 7-12:</w:t>
      </w:r>
      <w:r>
        <w:rPr>
          <w:color w:val="222B33"/>
          <w:sz w:val="21"/>
        </w:rPr>
        <w:t xml:space="preserve"> Launch the India GovCX Network community publicly (50 founding members target); host the Chennai half-day workshop; begin BFSI mid-market push in earnest as Phase 2 opens; stand up the first boutique-SI/state-IT-company partnership; begin Karnataka/Maharashtra local-SEO content as geographic expansion starts; publish IIT Pravartak capstone research findings; run the one bounded healthcare "Phase 3 lead-time SEO" content piece (Section 3.6) if not already run in Q4 of Y1.</w:t>
      </w:r>
    </w:p>
    <w:p>
      <w:r>
        <w:rPr>
          <w:b/>
          <w:color w:val="222B33"/>
          <w:sz w:val="21"/>
        </w:rPr>
        <w:t>Year 2-3 (themes):</w:t>
      </w:r>
      <w:r>
        <w:rPr>
          <w:color w:val="222B33"/>
          <w:sz w:val="21"/>
        </w:rPr>
        <w:t xml:space="preserve"> Scale BFSI LinkedIn outbound and the GovTech circuit; convert accumulated pilots into a real case-study library (retire the "pre-case-study substitute" content as actual case studies become available); launch regional-language content only once the Month 9/18 product gates are met; test the SI/partner channel's own co-marketing motion; stand up Healthcare and Telecom segment content/channels fresh (per IMS Phase 3 activation) rather than retrofitting Y1 govt/BFSI assets; evaluate whether the narrow e-commerce guided-trial should expand if Phase 3's SME motion is pursued at greater scale.</w:t>
      </w:r>
    </w:p>
    <w:p>
      <w:pPr>
        <w:spacing w:before="320" w:after="160"/>
        <w:pStyle w:val="Heading1"/>
        <w:keepNext/>
        <w:pBdr>
          <w:bottom w:val="single" w:sz="14" w:space="4" w:color="028090"/>
        </w:pBdr>
      </w:pPr>
      <w:r>
        <w:rPr>
          <w:rFonts w:ascii="Calibri" w:hAnsi="Calibri"/>
          <w:b/>
          <w:color w:val="0D1B2A"/>
          <w:sz w:val="40"/>
        </w:rPr>
        <w:t>9. Metrics &amp; Reporting</w:t>
      </w:r>
    </w:p>
    <w:p>
      <w:pPr>
        <w:spacing w:before="320" w:after="160"/>
        <w:pStyle w:val="Heading2"/>
        <w:keepNext/>
        <w:pBdr>
          <w:bottom w:val="single" w:sz="6" w:space="4" w:color="B7E4E0"/>
        </w:pBdr>
      </w:pPr>
      <w:r>
        <w:rPr>
          <w:rFonts w:ascii="Calibri" w:hAnsi="Calibri"/>
          <w:b/>
          <w:color w:val="028090"/>
          <w:sz w:val="30"/>
        </w:rPr>
        <w:t>9.1 North Star Metric</w:t>
      </w:r>
    </w:p>
    <w:p>
      <w:r>
        <w:rPr>
          <w:i/>
          <w:color w:val="222B33"/>
          <w:sz w:val="21"/>
        </w:rPr>
        <w:t>Accounts progressed to an active Pilot/POC or scoping-MoU stage with an identified budget-holder</w:t>
      </w:r>
      <w:r>
        <w:rPr>
          <w:color w:val="222B33"/>
          <w:sz w:val="21"/>
        </w:rPr>
        <w:t xml:space="preserve"> (Section 2.3) — tracked per segment given differing cycle lengths.</w:t>
      </w:r>
    </w:p>
    <w:p>
      <w:pPr>
        <w:spacing w:before="320" w:after="160"/>
        <w:pStyle w:val="Heading2"/>
        <w:keepNext/>
        <w:pBdr>
          <w:bottom w:val="single" w:sz="6" w:space="4" w:color="B7E4E0"/>
        </w:pBdr>
      </w:pPr>
      <w:r>
        <w:rPr>
          <w:rFonts w:ascii="Calibri" w:hAnsi="Calibri"/>
          <w:b/>
          <w:color w:val="028090"/>
          <w:sz w:val="30"/>
        </w:rPr>
        <w:t>9.2 Monthly Dashboard</w:t>
      </w:r>
    </w:p>
    <w:p>
      <w:r>
        <w:rPr>
          <w:color w:val="222B33"/>
          <w:sz w:val="21"/>
        </w:rPr>
        <w:t>Per-channel: qualified-lead/meeting volume vs. threshold (Section 2.3 table), CPL/cost-per-meeting vs. estimate, North Star metric count by segment, lead-scoring funnel (raw leads → MQL → SQL, Section 5.2 thresholds — with scheduled/large-bank leads reported separately as a non-SQL-eligible nurture-only pool), nurture-sequence engagement rates (Section 5.3), community membership growth and digest-forward rate, pilot pipeline status (count active, count converted, count lapsed) per the CRM fields in Section 4.6, compliance content/SEO reported as a subordinate line under Engine 3 (no independent target, informational only until Month 6).</w:t>
      </w:r>
    </w:p>
    <w:p>
      <w:pPr>
        <w:spacing w:before="320" w:after="160"/>
        <w:pStyle w:val="Heading2"/>
        <w:keepNext/>
        <w:pBdr>
          <w:bottom w:val="single" w:sz="6" w:space="4" w:color="B7E4E0"/>
        </w:pBdr>
      </w:pPr>
      <w:r>
        <w:rPr>
          <w:rFonts w:ascii="Calibri" w:hAnsi="Calibri"/>
          <w:b/>
          <w:color w:val="028090"/>
          <w:sz w:val="30"/>
        </w:rPr>
        <w:t>9.3 Quarterly Review Framework</w:t>
      </w:r>
    </w:p>
    <w:p>
      <w:r>
        <w:rPr>
          <w:color w:val="222B33"/>
          <w:sz w:val="21"/>
        </w:rPr>
        <w:t>Each quarter: review every channel against its kill-threshold (Section 2.3) and cut/reallocate budget from underperforming channels into the Reserve/test line's proven alternatives (subject to the Reserve-unlock rule in Section 2.2 — Reserve only reinforces a channel that has already cleared its own threshold); review content-pillar performance against SEO cluster priorities (Section 3.4); review Engine 1-3 volume/cost against the estimates in Section 5.1 and re-forecast Phase milestone likelihood; review the community's founding-member growth against the 50-member target; reassess the Hindi/regional-language product-gate timeline (Month 9/18) against actual engineering progress before committing further SEO/content spend in those languages; confirm the e-commerce guided-trial firewall has held (no cross-linking into govt/BFSI-facing pages).</w:t>
      </w:r>
    </w:p>
    <w:p>
      <w:pPr>
        <w:spacing w:before="320" w:after="160"/>
        <w:pStyle w:val="Heading1"/>
        <w:keepNext/>
        <w:pBdr>
          <w:bottom w:val="single" w:sz="14" w:space="4" w:color="028090"/>
        </w:pBdr>
      </w:pPr>
      <w:r>
        <w:rPr>
          <w:rFonts w:ascii="Calibri" w:hAnsi="Calibri"/>
          <w:b/>
          <w:color w:val="0D1B2A"/>
          <w:sz w:val="40"/>
        </w:rPr>
        <w:t>10. Budget Breakdown</w:t>
      </w:r>
    </w:p>
    <w:p>
      <w:pPr>
        <w:spacing w:before="320" w:after="160"/>
        <w:pStyle w:val="Heading2"/>
        <w:keepNext/>
        <w:pBdr>
          <w:bottom w:val="single" w:sz="6" w:space="4" w:color="B7E4E0"/>
        </w:pBdr>
      </w:pPr>
      <w:r>
        <w:rPr>
          <w:rFonts w:ascii="Calibri" w:hAnsi="Calibri"/>
          <w:b/>
          <w:color w:val="028090"/>
          <w:sz w:val="30"/>
        </w:rPr>
        <w:t>10.1 Y1 Budget Allocation by Category (INR)</w:t>
      </w:r>
    </w:p>
    <w:p>
      <w:r>
        <w:rPr>
          <w:color w:val="222B33"/>
          <w:sz w:val="21"/>
        </w:rPr>
        <w:t>See Section 2.2 for the full channel-level table (Events 30%/₹7.5-10.5L, Content 25%/₹6.25-8.75L, LinkedIn 15%/₹3.75-5.25L, SEO 10%/₹2.5-3.5L, Email tooling 5%/₹1.25-1.75L, Reserve 15%/₹3.75-5.25L), totalling the IMS-established ₹25-35L Y1 marketing budget.</w:t>
      </w:r>
    </w:p>
    <w:p>
      <w:pPr>
        <w:spacing w:before="320" w:after="160"/>
        <w:pStyle w:val="Heading2"/>
        <w:keepNext/>
        <w:pBdr>
          <w:bottom w:val="single" w:sz="6" w:space="4" w:color="B7E4E0"/>
        </w:pBdr>
      </w:pPr>
      <w:r>
        <w:rPr>
          <w:rFonts w:ascii="Calibri" w:hAnsi="Calibri"/>
          <w:b/>
          <w:color w:val="028090"/>
          <w:sz w:val="30"/>
        </w:rPr>
        <w:t>10.2 Y2 Scaling Assumptions</w:t>
      </w:r>
    </w:p>
    <w:p>
      <w:r>
        <w:rPr>
          <w:i/>
          <w:color w:val="222B33"/>
          <w:sz w:val="21"/>
        </w:rPr>
        <w:t>[Moderator synthesis — no agent directly addressed Y2 budget scaling; flagged as such, not agent-sourced.]</w:t>
      </w:r>
      <w:r>
        <w:rPr>
          <w:color w:val="222B33"/>
          <w:sz w:val="21"/>
        </w:rPr>
        <w:t xml:space="preserve"> Assuming the Phase 2 milestone (20 customers/₹1Cr ARR by Month 18) is on track, a reasonable Y2 marketing budget scales to roughly ₹50-70L, driven by: (a) BFSI LinkedIn outbound scaling from a part-time to a dedicated BD function, (b) the Chennai workshop format repeating in a second city (Bangalore or Mumbai) as BFSI pipeline justifies it, (c) first paid SI/partner co-marketing spend beginning, (d) regional-language content spend activating only once the Month 9/18 product gates are met. This should be revisited once actual Phase 1 channel performance data exists — treat as a directional placeholder, not a committed figure.</w:t>
      </w:r>
    </w:p>
    <w:p>
      <w:pPr>
        <w:spacing w:before="320" w:after="160"/>
        <w:pStyle w:val="Heading2"/>
        <w:keepNext/>
        <w:pBdr>
          <w:bottom w:val="single" w:sz="6" w:space="4" w:color="B7E4E0"/>
        </w:pBdr>
      </w:pPr>
      <w:r>
        <w:rPr>
          <w:rFonts w:ascii="Calibri" w:hAnsi="Calibri"/>
          <w:b/>
          <w:color w:val="028090"/>
          <w:sz w:val="30"/>
        </w:rPr>
        <w:t>10.3 ROI Expectations per Channel</w:t>
      </w:r>
    </w:p>
    <w:p>
      <w:r>
        <w:rPr>
          <w:i/>
          <w:color w:val="222B33"/>
          <w:sz w:val="21"/>
        </w:rPr>
        <w:t>[Moderator synthesis, built from the per-channel KPI thresholds in Section 2.3 — no agent produced blended ROI figures directly.]</w:t>
      </w:r>
      <w:r>
        <w:rPr>
          <w:color w:val="222B33"/>
          <w:sz w:val="21"/>
        </w:rPr>
        <w:t xml:space="preserve"> Given the Phase 1 milestone requires only 3 paying customers against a ₹25-35L Y1 spend, per-channel ROI in the traditional CAC-payback sense is not yet the right lens — the IMS's own unit economics (Section 8.4 of the IMS: revised private CAC ₹1.5-2L, govt CAC ₹4-6L) suggest that even a handful of channel-sourced pilot conversions would justify the entire Y1 marketing spend. The more actionable Y1 measure is the North Star metric (Section 9.1) and the per-channel kill-thresholds (Section 2.3), not a blended ROI percentage that would be false-precision at this stage.</w:t>
      </w:r>
    </w:p>
    <w:p>
      <w:pPr>
        <w:spacing w:before="320" w:after="160"/>
        <w:pStyle w:val="Heading1"/>
        <w:keepNext/>
        <w:pBdr>
          <w:bottom w:val="single" w:sz="14" w:space="4" w:color="028090"/>
        </w:pBdr>
      </w:pPr>
      <w:r>
        <w:rPr>
          <w:rFonts w:ascii="Calibri" w:hAnsi="Calibri"/>
          <w:b/>
          <w:color w:val="0D1B2A"/>
          <w:sz w:val="40"/>
        </w:rPr>
        <w:t>PROCESS NOTES</w:t>
      </w:r>
    </w:p>
    <w:p>
      <w:r>
        <w:rPr>
          <w:b/>
          <w:color w:val="222B33"/>
          <w:sz w:val="21"/>
        </w:rPr>
        <w:t>IMS alignment:</w:t>
      </w:r>
      <w:r>
        <w:rPr>
          <w:color w:val="222B33"/>
          <w:sz w:val="21"/>
        </w:rPr>
        <w:t xml:space="preserve"> No conflicts found between the DMS and the IMS at any point in the process — all four specialists' independent Phase 1 outputs already respected the IMS's segment ranking, pricing architecture, phase milestones, pilot structure, and (notably, without being told twice) the TNEB origin-story framing constraint. This consistency is itself a meaningful signal that the IMS's constraints were clear and well-specified.</w:t>
      </w:r>
    </w:p>
    <w:p>
      <w:r>
        <w:rPr>
          <w:b/>
          <w:color w:val="222B33"/>
          <w:sz w:val="21"/>
        </w:rPr>
        <w:t>Consensus items</w:t>
      </w:r>
      <w:r>
        <w:rPr>
          <w:color w:val="222B33"/>
          <w:sz w:val="21"/>
        </w:rPr>
        <w:t xml:space="preserve"> (all relevant specialists converged independently or after one review round):</w:t>
      </w:r>
    </w:p>
    <w:p>
      <w:pPr>
        <w:pStyle w:val="ListBullet"/>
      </w:pPr>
      <w:r>
        <w:rPr>
          <w:color w:val="222B33"/>
          <w:sz w:val="21"/>
        </w:rPr>
        <w:t>Government Utilities as the channel/content/sales-motion beachhead, BFSI mid-market as the concurrent second engine, Healthcare/Telecom held back to Phase 3</w:t>
      </w:r>
    </w:p>
    <w:p>
      <w:pPr>
        <w:pStyle w:val="ListBullet"/>
      </w:pPr>
      <w:r>
        <w:rPr>
          <w:color w:val="222B33"/>
          <w:sz w:val="21"/>
        </w:rPr>
        <w:t>The IIT Pravartak academic angle as the highest-priority, fastest-activating lead lever across all three lead-relevant specialists (Channels, Growth, and implicitly Content's case-study-substitute framework)</w:t>
      </w:r>
    </w:p>
    <w:p>
      <w:pPr>
        <w:pStyle w:val="ListBullet"/>
      </w:pPr>
      <w:r>
        <w:rPr>
          <w:color w:val="222B33"/>
          <w:sz w:val="21"/>
        </w:rPr>
        <w:t>TNEB is never a customer reference in any collateral — independently upheld by all four specialists across both drafting rounds with zero violations found</w:t>
      </w:r>
    </w:p>
    <w:p>
      <w:pPr>
        <w:pStyle w:val="ListBullet"/>
      </w:pPr>
      <w:r>
        <w:rPr>
          <w:color w:val="222B33"/>
          <w:sz w:val="21"/>
        </w:rPr>
        <w:t>The 8-12 week at-cost paid pilot (not a free trial) as the correct primary mechanism for govt/BFSI, with a narrowly-scoped exception only for the tertiary e-commerce segment</w:t>
      </w:r>
    </w:p>
    <w:p>
      <w:r>
        <w:rPr>
          <w:b/>
          <w:color w:val="222B33"/>
          <w:sz w:val="21"/>
        </w:rPr>
        <w:t>Adjudicated items</w:t>
      </w:r>
      <w:r>
        <w:rPr>
          <w:color w:val="222B33"/>
          <w:sz w:val="21"/>
        </w:rPr>
        <w:t xml:space="preserve"> (moderator resolved a genuine disagreement, with rationale, after both sides moved during Phase 3 review):</w:t>
      </w:r>
    </w:p>
    <w:p>
      <w:pPr>
        <w:pStyle w:val="ListBullet"/>
      </w:pPr>
      <w:r>
        <w:rPr>
          <w:b/>
          <w:color w:val="222B33"/>
          <w:sz w:val="21"/>
        </w:rPr>
        <w:t>Free trial (Conflict 1):</w:t>
      </w:r>
      <w:r>
        <w:rPr>
          <w:color w:val="222B33"/>
          <w:sz w:val="21"/>
        </w:rPr>
        <w:t xml:space="preserve"> Sales Enablement's original open "free 2-week, no credit card, cancel anytime" CTA is replaced with a hard-capped, guided 14-day/1-seat/100-ticket trial with automatic expiry and no auto-renewal — both Sales Enablement and Growth &amp; Community converged on materially the same fix during review; the moderator adopted the converged version plus Growth's explicit firewall requirement (never linked from govt/BFSI-facing pages) and Sales Enablement's own addition of an 11th objection-handling row to handle the "can we try free too?" question this now predictably raises.</w:t>
      </w:r>
    </w:p>
    <w:p>
      <w:pPr>
        <w:pStyle w:val="ListBullet"/>
      </w:pPr>
      <w:r>
        <w:rPr>
          <w:b/>
          <w:color w:val="222B33"/>
          <w:sz w:val="21"/>
        </w:rPr>
        <w:t>Healthcare Y1 content (Conflict 2):</w:t>
      </w:r>
      <w:r>
        <w:rPr>
          <w:color w:val="222B33"/>
          <w:sz w:val="21"/>
        </w:rPr>
        <w:t xml:space="preserve"> the original Week 11 Q1 blog is removed and replaced with a BFSI-reinforcing topic; a single bounded NABH/healthcare piece (capped at 1-2 total, no CTA, no gated asset, no paid promotion) is deferred to late Y1/early Y2, explicitly timed as "Phase 3 lead-time SEO" so it has 6-9 months to compound before Phase 3 activation rather than sitting idle for 16+ months from a Q1 placement. Both Digital Channels and Content Specialist moved substantially toward each other during review; this timing lands closer to Content's revised position (some Y1 content is defensible) bounded by Digital Channels' constraints (capacity-neutral, no active-GTM signal).</w:t>
      </w:r>
    </w:p>
    <w:p>
      <w:pPr>
        <w:pStyle w:val="ListBullet"/>
      </w:pPr>
      <w:r>
        <w:rPr>
          <w:b/>
          <w:color w:val="222B33"/>
          <w:sz w:val="21"/>
        </w:rPr>
        <w:t>Compliance content/SEO status (Conflict 3):</w:t>
      </w:r>
      <w:r>
        <w:rPr>
          <w:color w:val="222B33"/>
          <w:sz w:val="21"/>
        </w:rPr>
        <w:t xml:space="preserve"> reclassified from an independently-budgeted, independently-KPI'd BFSI channel to a subordinate line reported under Lead Engine 3's dashboard block — informational only, excluded from the Phase 1 Month-6 evaluation, with no independent lead-volume growth target (a kill-threshold for information only). Digital Channels conceded the internal inconsistency in holding a slow-compounding organic channel to a fast-cycle KPI; Growth &amp; Community conceded that, since the content is not incremental spend beyond what's already budgeted, tracking it costs nothing and provides some signal.</w:t>
      </w:r>
    </w:p>
    <w:p>
      <w:pPr>
        <w:pStyle w:val="ListBullet"/>
      </w:pPr>
      <w:r>
        <w:rPr>
          <w:b/>
          <w:color w:val="222B33"/>
          <w:sz w:val="21"/>
        </w:rPr>
        <w:t>Lead-scoring correction (surfaced during review, not an original conflict):</w:t>
      </w:r>
      <w:r>
        <w:rPr>
          <w:color w:val="222B33"/>
          <w:sz w:val="21"/>
        </w:rPr>
        <w:t xml:space="preserve"> Growth &amp; Community caught and corrected its own firmographic scoring table, which had incorrectly given large scheduled commercial banks the same fit score as mid-market NBFCs/SFBs despite the IMS explicitly excluding large banks from the faster BFSI secondary-segment cycle — now scored 0 and routed to a nurture-only, non-SQL-eligible track.</w:t>
      </w:r>
    </w:p>
    <w:p>
      <w:r>
        <w:rPr>
          <w:b/>
          <w:color w:val="222B33"/>
          <w:sz w:val="21"/>
        </w:rPr>
        <w:t>Minority views retained:</w:t>
      </w:r>
      <w:r>
        <w:rPr>
          <w:color w:val="222B33"/>
          <w:sz w:val="21"/>
        </w:rPr>
        <w:t xml:space="preserve"> none outstanding — every flagged conflict converged to a specific, adopted resolution during Phase 3 review, unlike the IMS's fundraise-reconciliation item which remained genuinely open. The one item still explicitly marked as moderator synthesis rather than specialist-sourced is the Y2 budget-scaling estimate (Section 10.2) and the qualitative ROI framing (Section 10.3) — flagged as directional placeholders for a future review once real Phase 1 channel data exists, not committed figures.</w:t>
      </w:r>
    </w:p>
    <w:sectPr w:rsidR="00FC693F" w:rsidRPr="0006063C" w:rsidSect="00034616">
      <w:footerReference w:type="default" r:id="rId9"/>
      <w:pgSz w:w="11906" w:h="16838"/>
      <w:pgMar w:top="1020" w:right="1247" w:bottom="1020" w:left="1247" w:header="720" w:footer="720" w:gutter="0"/>
      <w:cols w:space="720"/>
      <w:docGrid w:linePitch="360"/>
      <w:pgBorders w:offsetFrom="page">
        <w:top w:val="single" w:sz="12" w:space="24" w:color="028090"/>
        <w:left w:val="single" w:sz="12" w:space="24" w:color="028090"/>
        <w:bottom w:val="single" w:sz="12" w:space="24" w:color="028090"/>
        <w:right w:val="single" w:sz="12" w:space="24" w:color="02809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1B3A52"/>
        <w:sz w:val="16"/>
      </w:rPr>
      <w:t>UniServe — Digital Marketing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2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