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0D1B2A" w:val="clear"/>
            <w:tcMar>
              <w:top w:type="dxa" w:w="360"/>
              <w:left w:type="dxa" w:w="200"/>
              <w:bottom w:type="dxa" w:w="360"/>
              <w:right w:type="dxa" w:w="200"/>
            </w:tcMar>
            <w:vAlign w:val="top"/>
          </w:tcPr>
          <w:p>
            <w:pPr>
              <w:spacing w:after="80" w:before="50" w:line="276" w:lineRule="auto"/>
              <w:jc w:val="center"/>
            </w:pPr>
            <w:r>
              <w:rPr>
                <w:rFonts w:ascii="Calibri" w:cs="Calibri" w:eastAsia="Calibri" w:hAnsi="Calibri"/>
                <w:b/>
                <w:bCs/>
                <w:i w:val="false"/>
                <w:iCs w:val="false"/>
                <w:color w:val="C8EEF0"/>
                <w:sz w:val="14"/>
                <w:szCs w:val="14"/>
              </w:rPr>
              <w:t xml:space="preserve">PROJECT EVOLUTION DOCUMENT</w:t>
            </w:r>
          </w:p>
          <w:p>
            <w:pPr>
              <w:spacing w:after="60" w:before="50" w:line="276" w:lineRule="auto"/>
              <w:jc w:val="center"/>
            </w:pPr>
            <w:r>
              <w:rPr>
                <w:rFonts w:ascii="Calibri" w:cs="Calibri" w:eastAsia="Calibri" w:hAnsi="Calibri"/>
                <w:b/>
                <w:bCs/>
                <w:i w:val="false"/>
                <w:iCs w:val="false"/>
                <w:color w:val="FFFFFF"/>
                <w:sz w:val="54"/>
                <w:szCs w:val="54"/>
              </w:rPr>
              <w:t xml:space="preserve">UniServe</w:t>
            </w:r>
          </w:p>
          <w:p>
            <w:pPr>
              <w:spacing w:after="80" w:before="50" w:line="276" w:lineRule="auto"/>
              <w:jc w:val="center"/>
            </w:pPr>
            <w:r>
              <w:rPr>
                <w:rFonts w:ascii="Calibri" w:cs="Calibri" w:eastAsia="Calibri" w:hAnsi="Calibri"/>
                <w:b w:val="false"/>
                <w:bCs w:val="false"/>
                <w:i/>
                <w:iCs/>
                <w:color w:val="C8EEF0"/>
                <w:sz w:val="22"/>
                <w:szCs w:val="22"/>
              </w:rPr>
              <w:t xml:space="preserve">From Idea to Production</w:t>
            </w:r>
          </w:p>
          <w:p>
            <w:pPr>
              <w:spacing w:after="50" w:before="50" w:line="276" w:lineRule="auto"/>
              <w:jc w:val="center"/>
            </w:pPr>
            <w:r>
              <w:rPr>
                <w:rFonts w:ascii="Calibri" w:cs="Calibri" w:eastAsia="Calibri" w:hAnsi="Calibri"/>
                <w:b w:val="false"/>
                <w:bCs w:val="false"/>
                <w:i w:val="false"/>
                <w:iCs w:val="false"/>
                <w:color w:val="8EB4C8"/>
                <w:sz w:val="18"/>
                <w:szCs w:val="18"/>
              </w:rPr>
              <w:t xml:space="preserve">A complete record of how UniServe evolved — technically, architecturally, and functionally — from initial concept through to live deployment. Every key decision is documented with reasoning.</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E2E8F0" w:sz="1"/>
              <w:left w:val="single" w:color="E2E8F0" w:sz="1"/>
              <w:bottom w:val="single" w:color="E2E8F0" w:sz="1"/>
              <w:right w:val="single" w:color="E2E8F0" w:sz="1"/>
            </w:tcBorders>
            <w:shd w:fill="E8F6F8" w:val="clear"/>
            <w:tcMar>
              <w:top w:type="dxa" w:w="100"/>
              <w:left w:type="dxa" w:w="160"/>
              <w:bottom w:type="dxa" w:w="100"/>
              <w:right w:type="dxa" w:w="160"/>
            </w:tcMar>
            <w:vAlign w:val="top"/>
          </w:tcPr>
          <w:p>
            <w:pPr>
              <w:spacing w:after="16" w:before="50" w:line="276" w:lineRule="auto"/>
              <w:jc w:val="left"/>
            </w:pPr>
            <w:r>
              <w:rPr>
                <w:rFonts w:ascii="Calibri" w:cs="Calibri" w:eastAsia="Calibri" w:hAnsi="Calibri"/>
                <w:b/>
                <w:bCs/>
                <w:i w:val="false"/>
                <w:iCs w:val="false"/>
                <w:color w:val="0D1B2A"/>
                <w:sz w:val="19"/>
                <w:szCs w:val="19"/>
              </w:rPr>
              <w:t xml:space="preserve">Programme</w:t>
            </w:r>
          </w:p>
          <w:p>
            <w:pPr>
              <w:spacing w:after="50" w:before="50" w:line="276" w:lineRule="auto"/>
              <w:jc w:val="left"/>
            </w:pPr>
            <w:r>
              <w:rPr>
                <w:rFonts w:ascii="Calibri" w:cs="Calibri" w:eastAsia="Calibri" w:hAnsi="Calibri"/>
                <w:b w:val="false"/>
                <w:bCs w:val="false"/>
                <w:i w:val="false"/>
                <w:iCs w:val="false"/>
                <w:color w:val="0F172A"/>
                <w:sz w:val="19"/>
                <w:szCs w:val="19"/>
              </w:rPr>
              <w:t xml:space="preserve">IIT Pravartak — Executive AI/GenAI</w:t>
            </w:r>
          </w:p>
        </w:tc>
        <w:tc>
          <w:tcPr>
            <w:tcW w:type="dxa" w:w="3000"/>
            <w:gridSpan w:val="1"/>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vAlign w:val="top"/>
          </w:tcPr>
          <w:p>
            <w:pPr>
              <w:spacing w:after="16" w:before="50" w:line="276" w:lineRule="auto"/>
              <w:jc w:val="left"/>
            </w:pPr>
            <w:r>
              <w:rPr>
                <w:rFonts w:ascii="Calibri" w:cs="Calibri" w:eastAsia="Calibri" w:hAnsi="Calibri"/>
                <w:b/>
                <w:bCs/>
                <w:i w:val="false"/>
                <w:iCs w:val="false"/>
                <w:color w:val="0D1B2A"/>
                <w:sz w:val="19"/>
                <w:szCs w:val="19"/>
              </w:rPr>
              <w:t xml:space="preserve">Period</w:t>
            </w:r>
          </w:p>
          <w:p>
            <w:pPr>
              <w:spacing w:after="50" w:before="50" w:line="276" w:lineRule="auto"/>
              <w:jc w:val="left"/>
            </w:pPr>
            <w:r>
              <w:rPr>
                <w:rFonts w:ascii="Calibri" w:cs="Calibri" w:eastAsia="Calibri" w:hAnsi="Calibri"/>
                <w:b w:val="false"/>
                <w:bCs w:val="false"/>
                <w:i w:val="false"/>
                <w:iCs w:val="false"/>
                <w:color w:val="0F172A"/>
                <w:sz w:val="19"/>
                <w:szCs w:val="19"/>
              </w:rPr>
              <w:t xml:space="preserve">May 2025 – August 2026</w:t>
            </w:r>
          </w:p>
        </w:tc>
        <w:tc>
          <w:tcPr>
            <w:tcW w:type="dxa" w:w="3000"/>
            <w:gridSpan w:val="1"/>
            <w:tcBorders>
              <w:top w:val="single" w:color="E2E8F0" w:sz="1"/>
              <w:left w:val="single" w:color="E2E8F0" w:sz="1"/>
              <w:bottom w:val="single" w:color="E2E8F0" w:sz="1"/>
              <w:right w:val="single" w:color="E2E8F0" w:sz="1"/>
            </w:tcBorders>
            <w:shd w:fill="E8F6F8" w:val="clear"/>
            <w:tcMar>
              <w:top w:type="dxa" w:w="100"/>
              <w:left w:type="dxa" w:w="160"/>
              <w:bottom w:type="dxa" w:w="100"/>
              <w:right w:type="dxa" w:w="160"/>
            </w:tcMar>
            <w:vAlign w:val="top"/>
          </w:tcPr>
          <w:p>
            <w:pPr>
              <w:spacing w:after="16" w:before="50" w:line="276" w:lineRule="auto"/>
              <w:jc w:val="left"/>
            </w:pPr>
            <w:r>
              <w:rPr>
                <w:rFonts w:ascii="Calibri" w:cs="Calibri" w:eastAsia="Calibri" w:hAnsi="Calibri"/>
                <w:b/>
                <w:bCs/>
                <w:i w:val="false"/>
                <w:iCs w:val="false"/>
                <w:color w:val="0D1B2A"/>
                <w:sz w:val="19"/>
                <w:szCs w:val="19"/>
              </w:rPr>
              <w:t xml:space="preserve">Status</w:t>
            </w:r>
          </w:p>
          <w:p>
            <w:pPr>
              <w:spacing w:after="50" w:before="50" w:line="276" w:lineRule="auto"/>
              <w:jc w:val="left"/>
            </w:pPr>
            <w:r>
              <w:rPr>
                <w:rFonts w:ascii="Calibri" w:cs="Calibri" w:eastAsia="Calibri" w:hAnsi="Calibri"/>
                <w:b/>
                <w:bCs/>
                <w:i w:val="false"/>
                <w:iCs w:val="false"/>
                <w:color w:val="028090"/>
                <w:sz w:val="19"/>
                <w:szCs w:val="19"/>
              </w:rPr>
              <w:t xml:space="preserve">Live — Phase 1 deployed</w:t>
            </w:r>
          </w:p>
        </w:tc>
      </w:tr>
    </w:tbl>
    <w:p>
      <w:pPr>
        <w:spacing w:after="0" w:before="12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1.  Where It Started — The Original Idea</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In May 2025, the project began as two candidate ideas brought to the AI/GenAI capstone programme at IIT Pravartak. The brief was to identify a real problem, plan a market strategy, build a product, and launch it.</w:t>
      </w:r>
    </w:p>
    <w:p>
      <w:pPr>
        <w:spacing w:after="0" w:before="40"/>
      </w:pPr>
      <w:r>
        <w:t xml:space="preserve"/>
      </w:r>
    </w:p>
    <w:p>
      <w:pPr>
        <w:pStyle w:val="Heading2"/>
        <w:spacing w:after="80" w:before="280"/>
      </w:pPr>
      <w:r>
        <w:rPr>
          <w:rFonts w:ascii="Calibri" w:cs="Calibri" w:eastAsia="Calibri" w:hAnsi="Calibri"/>
          <w:b/>
          <w:bCs/>
          <w:i w:val="false"/>
          <w:iCs w:val="false"/>
          <w:color w:val="028090"/>
          <w:sz w:val="26"/>
          <w:szCs w:val="26"/>
        </w:rPr>
        <w:t xml:space="preserve">1.1  The Two Original Ideas</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Idea A — Unified Complaint / Feedback Portal: Aggregate customer complaints from Twitter, email, IVR, WhatsApp, and web chat via MCP connectors. Have AI in the loop to gather more details, deduplicate complaints from the same person across channels, and present a single dashboard with AI-driven priority suggestions. This was the complaint management idea.</w:t>
      </w:r>
    </w:p>
    <w:p>
      <w:pPr>
        <w:spacing w:after="0" w:before="3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Idea B — Hyperlocal Market Intelligence: Load sales data from Amazon, Flipkart, supermarkets, mall shops and kirana stores by location. Generate AI insights for merchants — pricing trends, product velocity, online vs offline comparison, competitor analysis via chatbot.</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1.2  Why Idea A Was Chosen</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A structured multi-agent review evaluated both ideas across six dimensions: feasibility, innovation, real-world impact, scope risk, and two debate agents (skeptic and champion). The key factor that decided it:</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Idea A (complaint portal) had real validation — two in-person interviews conducted at TNEB (Tamil Nadu Electricity Board) with a Customer Care Lead and a Social Media Monitor.</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Idea B (market intelligence) was top-down and data-dependent. No merchant interviews, no data partnerships confirmed, and a chicken-and-egg data problem that would block any MVP.</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Idea A's TNEB interviews surfaced a specific, measurable, observable pain: the Social Media Monitor's full-time job was watching Twitter manually because there was no alert system. Tweets tagging the Minister of Electricity left unanswered for 15 minutes could trend statewide.</w:t>
      </w:r>
    </w:p>
    <w:p>
      <w:pPr>
        <w:spacing w:after="0" w:before="4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This specificity — a named person, a measured time window, a real failure mode — is what the professor asked for: 'bottom-up from a real observed problem, not an assumed one.' UniServe was chosen because of that anchor.</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2.  Initial Concept — What Was Originally Designed</w:t>
      </w:r>
    </w:p>
    <w:p>
      <w:pPr>
        <w:pStyle w:val="Heading2"/>
        <w:spacing w:after="80" w:before="280"/>
      </w:pPr>
      <w:r>
        <w:rPr>
          <w:rFonts w:ascii="Calibri" w:cs="Calibri" w:eastAsia="Calibri" w:hAnsi="Calibri"/>
          <w:b/>
          <w:bCs/>
          <w:i w:val="false"/>
          <w:iCs w:val="false"/>
          <w:color w:val="028090"/>
          <w:sz w:val="26"/>
          <w:szCs w:val="26"/>
        </w:rPr>
        <w:t xml:space="preserve">2.1  Original Problem Statement</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Customers submit the same complaint across multiple channels — Twitter, email, IVR, WhatsApp, and web chat. Each channel creates a separate ticket, handled by a separate agent, with no awareness that it is the same person and the same complaint. There is no unified view, no cross-channel deduplication, and no intelligent prioritisation. Agents work reactively in isolation.</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2.2  Original Architecture (v1 — All Python)</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first architectural proposal was a full Python stack:</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API layer: Python FastAPI — all services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AI: LangChain orchestration with external LLM APIs (OpenAI / Anthropic / Gemini)</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Database: PostgreSQL</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Event bus: Redis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Frontend: React SPA</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Channels: all five from day one — Email, WhatsApp, Twitter, IVR, Web Chat</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Deployment: cloud-native (AWS / GCP / Azure) with hybrid on-prem option for govt clients</w:t>
      </w:r>
    </w:p>
    <w:p>
      <w:pPr>
        <w:spacing w:after="0" w:before="4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original design included 14 feature MD files covering event bus, 5 channel adapters, identity resolver, ticket DB, AI conversation, PII scrubber, classification, deduplication, priority engine, multi-tenancy, agent dashboard, analytics, notifications, and hybrid deployment.</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3.  Technical Evolution — How the Stack Changed</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tech stack went through six documented pivots. Each change was debated, decided, and recorded with reasoning. The changes are documented here in the order they were made.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01  ·  </w:t>
            </w:r>
            <w:r>
              <w:rPr>
                <w:rFonts w:ascii="Calibri" w:cs="Calibri" w:eastAsia="Calibri" w:hAnsi="Calibri"/>
                <w:b/>
                <w:bCs/>
                <w:i w:val="false"/>
                <w:iCs w:val="false"/>
                <w:color w:val="0D1B2A"/>
                <w:sz w:val="20"/>
                <w:szCs w:val="20"/>
              </w:rPr>
              <w:t xml:space="preserve">Backend Language — Polyglot Pivot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All Python (FastAPI) for every service</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Quarkus Java 21 for API gateway and DB writer. Python FastAPI retained for AI services only.</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Quarkus compiles to a GraalVM native binary at approximately 50MB per pod versus approximately 300MB for a Python or Spring Boot service. For a Kubernetes deployment that auto-scales under load, this directly reduces cloud infrastructure cost. Python is the right choice for the AI layer — LangChain, Presidio, OpenAI SDK all live there — but for the API gateway and DB writer, which are request-routing and data-persistence services with no ML dependency, Java gives a significantly cheaper runtime footprint.</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Approximately 80% reduction in memory per API and DB writer pod. Faster cold start times. Lower GKE Autopilot bill at scale.</w:t>
                  </w:r>
                </w:p>
              </w:tc>
            </w:tr>
          </w:tbl>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02  ·  </w:t>
            </w:r>
            <w:r>
              <w:rPr>
                <w:rFonts w:ascii="Calibri" w:cs="Calibri" w:eastAsia="Calibri" w:hAnsi="Calibri"/>
                <w:b/>
                <w:bCs/>
                <w:i w:val="false"/>
                <w:iCs w:val="false"/>
                <w:color w:val="0D1B2A"/>
                <w:sz w:val="20"/>
                <w:szCs w:val="20"/>
              </w:rPr>
              <w:t xml:space="preserve">Database — SQLite WAL with Single Writer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PostgreSQL — the default choice for multi-service backends</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SQLite 3 in WAL (Write-Ahead Logging) mode, accessed exclusively through a single Quarkus DB Writer service pod via REST API.</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A complaint portal has fundamentally low write volume — hundreds to a few thousand writes per day even at production scale. PostgreSQL adds a managed database cost of approximately ₹600–800/month minimum on any cloud, plus operational overhead that is not justified at this scale. SQLite in WAL mode handles multiple concurrent readers with one writer cleanly. The single-writer service pattern eliminates SQLite's concurrent-write limitation entirely by serialising all writes through one pod. The migration path is documented: if writes ever exceed 5,000/day sustained, the Hibernate Panache dialect swap to PostgreSQL is the only change required — no other service is aware of the storage engine.</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Zero database server cost. Simpler operations. SQLite file portable and backup-able as a single file. Full migration path documented and tested conceptually.</w:t>
                  </w:r>
                </w:p>
              </w:tc>
            </w:tr>
          </w:tbl>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03  ·  </w:t>
            </w:r>
            <w:r>
              <w:rPr>
                <w:rFonts w:ascii="Calibri" w:cs="Calibri" w:eastAsia="Calibri" w:hAnsi="Calibri"/>
                <w:b/>
                <w:bCs/>
                <w:i w:val="false"/>
                <w:iCs w:val="false"/>
                <w:color w:val="0D1B2A"/>
                <w:sz w:val="20"/>
                <w:szCs w:val="20"/>
              </w:rPr>
              <w:t xml:space="preserve">Event Bus — Valkey instead of Redis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Redis — the obvious and widely-used choice</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Valkey 7.2 — the Linux Foundation community fork of Redis 7.2, MIT licensed.</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Redis changed its licence from BSD to RSALv2/SSPLv1 in version 7.4 onwards. RSALv2 is not an OSI-approved open source licence — commercially offering Redis as a service technically requires a licence from Redis Inc. Valkey is the community fork of Redis 7.2, backed by AWS, Google, Oracle, and the Linux Foundation. It is a drop-in replacement: identical API, identical client libraries, identical Docker image pattern. Zero licence risk. The name in the stack changed but the code did not.</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No licence exposure. MIT-licensed throughout the stack. No API changes needed — all Redis client code works against Valkey without modification.</w:t>
                  </w:r>
                </w:p>
              </w:tc>
            </w:tr>
          </w:tbl>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04  ·  </w:t>
            </w:r>
            <w:r>
              <w:rPr>
                <w:rFonts w:ascii="Calibri" w:cs="Calibri" w:eastAsia="Calibri" w:hAnsi="Calibri"/>
                <w:b/>
                <w:bCs/>
                <w:i w:val="false"/>
                <w:iCs w:val="false"/>
                <w:color w:val="0D1B2A"/>
                <w:sz w:val="20"/>
                <w:szCs w:val="20"/>
              </w:rPr>
              <w:t xml:space="preserve">Email Inbound — Make.com Webhook instead of IMAP Polling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IMAP polling inside the api-gateway service (every 60 seconds)</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Make.com scenario watches Gmail/Outlook and POSTs to a webhook endpoint in api-gateway. IMAP polling code removed entirely.</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IMAP polling was in the original MD spec and was scaffolded. During implementation it was replaced because Make.com eliminates the duplicate-ingest risk (two competing inbound paths for the same email), reduces api-gateway code complexity, and gives a visual integration layer that non-engineers can understand and modify. SMTP outbound (for sending replies) was retained in the service — only the inbound watching was delegated to Make.com.</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Simpler service code. No duplicate event risk. Non-engineer-manageable integration. Outbound SMTP retained for reply sending.</w:t>
                  </w:r>
                </w:p>
              </w:tc>
            </w:tr>
          </w:tbl>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05  ·  </w:t>
            </w:r>
            <w:r>
              <w:rPr>
                <w:rFonts w:ascii="Calibri" w:cs="Calibri" w:eastAsia="Calibri" w:hAnsi="Calibri"/>
                <w:b/>
                <w:bCs/>
                <w:i w:val="false"/>
                <w:iCs w:val="false"/>
                <w:color w:val="0D1B2A"/>
                <w:sz w:val="20"/>
                <w:szCs w:val="20"/>
              </w:rPr>
              <w:t xml:space="preserve">JWT Authentication — auth0 java-jwt instead of quarkus-security-jwt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quarkus-security-jwt / smallrye-jwt — the standard Quarkus authentication approach</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auth0 java-jwt + custom AuthFilter — kept after discovering a documented conflict.</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During implementation a conflict was discovered: quarkus-security-jwt / smallrye-jwt intercepts Bearer tokens at the framework level in a way that conflicted with the existing working implementation. Since the auth0 java-jwt + AuthFilter approach was already passing all test stubs — login, refresh, logout, RBAC, token revocation — migrating would reintroduce a solved problem. A migration note was added to the code: if @RolesAllowed annotations are needed in future, migrate to quarkus-security-jwt with scoped path matching.</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Stable, working authentication from day one. Conflict documented in code comments for future reference. No regression introduced.</w:t>
                  </w:r>
                </w:p>
              </w:tc>
            </w:tr>
          </w:tbl>
          <w:p/>
        </w:tc>
      </w:tr>
    </w:tbl>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vAlign w:val="top"/>
          </w:tcPr>
          <w:p>
            <w:pPr>
              <w:spacing w:after="40" w:before="50" w:line="276" w:lineRule="auto"/>
              <w:jc w:val="left"/>
            </w:pPr>
            <w:r>
              <w:rPr>
                <w:rFonts w:ascii="Calibri" w:cs="Calibri" w:eastAsia="Calibri" w:hAnsi="Calibri"/>
                <w:b/>
                <w:bCs/>
                <w:i w:val="false"/>
                <w:iCs w:val="false"/>
                <w:color w:val="E07B54"/>
                <w:sz w:val="18"/>
                <w:szCs w:val="18"/>
              </w:rPr>
              <w:t xml:space="preserve">Decision 06  ·  </w:t>
            </w:r>
            <w:r>
              <w:rPr>
                <w:rFonts w:ascii="Calibri" w:cs="Calibri" w:eastAsia="Calibri" w:hAnsi="Calibri"/>
                <w:b/>
                <w:bCs/>
                <w:i w:val="false"/>
                <w:iCs w:val="false"/>
                <w:color w:val="0D1B2A"/>
                <w:sz w:val="20"/>
                <w:szCs w:val="20"/>
              </w:rPr>
              <w:t xml:space="preserve">LLM Integration — OpenAI Classic Assistants API instead of LangChain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7440"/>
            </w:tblGrid>
            <w:tr>
              <w:tc>
                <w:tcPr>
                  <w:tcW w:type="dxa" w:w="120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From</w:t>
                  </w:r>
                </w:p>
              </w:tc>
              <w:tc>
                <w:tcPr>
                  <w:tcW w:type="dxa" w:w="7440"/>
                  <w:gridSpan w:val="1"/>
                  <w:tcBorders>
                    <w:top w:val="none" w:color="FFFFFF" w:sz="0"/>
                    <w:left w:val="none" w:color="FFFFFF" w:sz="0"/>
                    <w:bottom w:val="none" w:color="FFFFFF" w:sz="0"/>
                    <w:right w:val="none" w:color="FFFFFF" w:sz="0"/>
                  </w:tcBorders>
                  <w:shd w:fill="F1F5F9"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iCs/>
                      <w:color w:val="E07B54"/>
                      <w:sz w:val="19"/>
                      <w:szCs w:val="19"/>
                    </w:rPr>
                    <w:t xml:space="preserve">LangChain for LLM orchestration — the common open-source choice</w:t>
                  </w:r>
                </w:p>
              </w:tc>
            </w:tr>
            <w:tr>
              <w:tc>
                <w:tcPr>
                  <w:tcW w:type="dxa" w:w="120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To</w:t>
                  </w:r>
                </w:p>
              </w:tc>
              <w:tc>
                <w:tcPr>
                  <w:tcW w:type="dxa" w:w="7440"/>
                  <w:gridSpan w:val="1"/>
                  <w:tcBorders>
                    <w:top w:val="none" w:color="FFFFFF" w:sz="0"/>
                    <w:left w:val="none" w:color="FFFFFF" w:sz="0"/>
                    <w:bottom w:val="none" w:color="FFFFFF" w:sz="0"/>
                    <w:right w:val="none" w:color="FFFFFF" w:sz="0"/>
                  </w:tcBorders>
                  <w:shd w:fill="EAF6F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028090"/>
                      <w:sz w:val="19"/>
                      <w:szCs w:val="19"/>
                    </w:rPr>
                    <w:t xml:space="preserve">OpenAI Classic Assistants API (beta.threads / beta.runs) with function tools.</w:t>
                  </w:r>
                </w:p>
              </w:tc>
            </w:tr>
            <w:tr>
              <w:tc>
                <w:tcPr>
                  <w:tcW w:type="dxa" w:w="120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Why</w:t>
                  </w:r>
                </w:p>
              </w:tc>
              <w:tc>
                <w:tcPr>
                  <w:tcW w:type="dxa" w:w="7440"/>
                  <w:gridSpan w:val="1"/>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0F172A"/>
                      <w:sz w:val="19"/>
                      <w:szCs w:val="19"/>
                    </w:rPr>
                    <w:t xml:space="preserve">The Assistants API manages conversation state, tool calling, and context threading natively — removing three layers of custom state management code that LangChain would have required. Thread IDs from the UniServe system map to OpenAI thread IDs stored in Valkey. The Assistant is created once via a setup script and its ID stored in .env. Note: OpenAI Agent Builder (visual canvas) was considered but rejected — it is a different API surface, less programmable, and the integration path into Quarkus/Python is less defined.</w:t>
                  </w:r>
                </w:p>
              </w:tc>
            </w:tr>
            <w:tr>
              <w:tc>
                <w:tcPr>
                  <w:tcW w:type="dxa" w:w="120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Impact</w:t>
                  </w:r>
                </w:p>
              </w:tc>
              <w:tc>
                <w:tcPr>
                  <w:tcW w:type="dxa" w:w="7440"/>
                  <w:gridSpan w:val="1"/>
                  <w:tcBorders>
                    <w:top w:val="none" w:color="FFFFFF" w:sz="0"/>
                    <w:left w:val="none" w:color="FFFFFF" w:sz="0"/>
                    <w:bottom w:val="none" w:color="FFFFFF" w:sz="0"/>
                    <w:right w:val="none" w:color="FFFFFF" w:sz="0"/>
                  </w:tcBorders>
                  <w:shd w:fill="FFF3E8" w:val="clear"/>
                  <w:tcMar>
                    <w:top w:type="dxa" w:w="60"/>
                    <w:left w:type="dxa" w:w="80"/>
                    <w:bottom w:type="dxa" w:w="60"/>
                    <w:right w:type="dxa" w:w="80"/>
                  </w:tcMar>
                  <w:vAlign w:val="top"/>
                </w:tcPr>
                <w:p>
                  <w:pPr>
                    <w:spacing w:after="50" w:before="50" w:line="276" w:lineRule="auto"/>
                    <w:jc w:val="left"/>
                  </w:pPr>
                  <w:r>
                    <w:rPr>
                      <w:rFonts w:ascii="Calibri" w:cs="Calibri" w:eastAsia="Calibri" w:hAnsi="Calibri"/>
                      <w:b w:val="false"/>
                      <w:bCs w:val="false"/>
                      <w:i w:val="false"/>
                      <w:iCs w:val="false"/>
                      <w:color w:val="6B4000"/>
                      <w:sz w:val="19"/>
                      <w:szCs w:val="19"/>
                    </w:rPr>
                    <w:t xml:space="preserve">Fewer custom state management components. Conversation threading handled natively. LangChain dependency removed from ai-core, reducing Docker image size.</w:t>
                  </w:r>
                </w:p>
              </w:tc>
            </w:tr>
          </w:tbl>
          <w:p/>
        </w:tc>
      </w:tr>
    </w:tbl>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4.  Architectural Evolution</w:t>
      </w:r>
    </w:p>
    <w:p>
      <w:pPr>
        <w:pStyle w:val="Heading2"/>
        <w:spacing w:after="80" w:before="280"/>
      </w:pPr>
      <w:r>
        <w:rPr>
          <w:rFonts w:ascii="Calibri" w:cs="Calibri" w:eastAsia="Calibri" w:hAnsi="Calibri"/>
          <w:b/>
          <w:bCs/>
          <w:i w:val="false"/>
          <w:iCs w:val="false"/>
          <w:color w:val="028090"/>
          <w:sz w:val="26"/>
          <w:szCs w:val="26"/>
        </w:rPr>
        <w:t xml:space="preserve">4.1  From Single-Language to Polyglot Microservices</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original design was a monolith-leaning Python stack. The final architecture is a polyglot microservice system with four independently deployable services:</w:t>
      </w:r>
    </w:p>
    <w:p>
      <w:pPr>
        <w:spacing w:after="0" w:before="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Service</w:t>
            </w:r>
          </w:p>
        </w:tc>
        <w:tc>
          <w:tcPr>
            <w:tcW w:type="dxa" w:w="22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Stack</w:t>
            </w:r>
          </w:p>
        </w:tc>
        <w:tc>
          <w:tcPr>
            <w:tcW w:type="dxa" w:w="22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Port</w:t>
            </w:r>
          </w:p>
        </w:tc>
        <w:tc>
          <w:tcPr>
            <w:tcW w:type="dxa" w:w="28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Responsibility</w:t>
            </w:r>
          </w:p>
        </w:tc>
      </w:tr>
      <w:tr>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api-gateway</w:t>
            </w:r>
          </w:p>
        </w:tc>
        <w:tc>
          <w:tcPr>
            <w:tcW w:type="dxa" w:w="22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Quarkus Java 21</w:t>
            </w:r>
          </w:p>
        </w:tc>
        <w:tc>
          <w:tcPr>
            <w:tcW w:type="dxa" w:w="22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64748B"/>
                <w:sz w:val="18"/>
                <w:szCs w:val="18"/>
              </w:rPr>
              <w:t xml:space="preserve">8080</w:t>
            </w:r>
          </w:p>
        </w:tc>
        <w:tc>
          <w:tcPr>
            <w:tcW w:type="dxa" w:w="2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Public-facing. Email + WhatsApp adapters. JWT auth. Routes events to Valkey.</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db-writer</w:t>
            </w:r>
          </w:p>
        </w:tc>
        <w:tc>
          <w:tcPr>
            <w:tcW w:type="dxa" w:w="22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Quarkus Java 21</w:t>
            </w:r>
          </w:p>
        </w:tc>
        <w:tc>
          <w:tcPr>
            <w:tcW w:type="dxa" w:w="22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64748B"/>
                <w:sz w:val="18"/>
                <w:szCs w:val="18"/>
              </w:rPr>
              <w:t xml:space="preserve">8090</w:t>
            </w:r>
          </w:p>
        </w:tc>
        <w:tc>
          <w:tcPr>
            <w:tcW w:type="dxa" w:w="2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Single SQLite writer. REST API. Caffeine cache. Backup sidecar.</w:t>
            </w:r>
          </w:p>
        </w:tc>
      </w:tr>
      <w:tr>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ai-core</w:t>
            </w:r>
          </w:p>
        </w:tc>
        <w:tc>
          <w:tcPr>
            <w:tcW w:type="dxa" w:w="22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Python 3.11 FastAPI</w:t>
            </w:r>
          </w:p>
        </w:tc>
        <w:tc>
          <w:tcPr>
            <w:tcW w:type="dxa" w:w="22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64748B"/>
                <w:sz w:val="18"/>
                <w:szCs w:val="18"/>
              </w:rPr>
              <w:t xml:space="preserve">8001</w:t>
            </w:r>
          </w:p>
        </w:tc>
        <w:tc>
          <w:tcPr>
            <w:tcW w:type="dxa" w:w="2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Identity gate. PII scrubber. OpenAI Assistants. Classification. Priority.</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dashboard</w:t>
            </w:r>
          </w:p>
        </w:tc>
        <w:tc>
          <w:tcPr>
            <w:tcW w:type="dxa" w:w="22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Next.js 14 PWA</w:t>
            </w:r>
          </w:p>
        </w:tc>
        <w:tc>
          <w:tcPr>
            <w:tcW w:type="dxa" w:w="22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64748B"/>
                <w:sz w:val="18"/>
                <w:szCs w:val="18"/>
              </w:rPr>
              <w:t xml:space="preserve">3000</w:t>
            </w:r>
          </w:p>
        </w:tc>
        <w:tc>
          <w:tcPr>
            <w:tcW w:type="dxa" w:w="2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Agent inbox. Analytics. Admin panel. Citizen status portal.</w:t>
            </w:r>
          </w:p>
        </w:tc>
      </w:tr>
    </w:tbl>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4.2  The Single-Writer Pattern</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One of the most important architectural decisions was the single-writer pattern for the database. Rather than allowing multiple pods to write to SQLite (which would cause concurrency errors), a dedicated db-writer service was created as the sole database writer. All other services call its REST API for reads and writes. This pattern:</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Eliminates SQLite concurrent-write problems entirely</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Creates a clean architectural boundary with one place for data validation and audit logging</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Enables Caffeine in-memory caching inside db-writer for hot reads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Makes the SQLite-to-Postgres migration path clean — only db-writer changes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Uses Kubernetes Recreate deployment strategy (not RollingUpdate) to prevent two writer pods during deploys</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4.3  From All-Channels MVP to Phased Channel Strategy</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original design called for all five channels (Email, WhatsApp, Twitter, IVR, Web Chat) from day one. This was revised to a phased approach:</w:t>
      </w:r>
    </w:p>
    <w:p>
      <w:pPr>
        <w:spacing w:after="0" w:before="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Phase</w:t>
            </w:r>
          </w:p>
        </w:tc>
        <w:tc>
          <w:tcPr>
            <w:tcW w:type="dxa" w:w="35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Channels</w:t>
            </w:r>
          </w:p>
        </w:tc>
        <w:tc>
          <w:tcPr>
            <w:tcW w:type="dxa" w:w="35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Reason for deferral</w:t>
            </w:r>
          </w:p>
        </w:tc>
      </w:tr>
      <w:tr>
        <w:tc>
          <w:tcPr>
            <w:tcW w:type="dxa" w:w="2000"/>
            <w:gridSpan w:val="1"/>
            <w:tcBorders>
              <w:top w:val="single" w:color="E2E8F0" w:sz="1"/>
              <w:left w:val="single" w:color="E2E8F0" w:sz="1"/>
              <w:bottom w:val="single" w:color="E2E8F0" w:sz="1"/>
              <w:right w:val="single" w:color="E2E8F0" w:sz="1"/>
            </w:tcBorders>
            <w:shd w:fill="E8F6F8"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Phase 1 — Live</w:t>
            </w:r>
          </w:p>
        </w:tc>
        <w:tc>
          <w:tcPr>
            <w:tcW w:type="dxa" w:w="3500"/>
            <w:gridSpan w:val="1"/>
            <w:tcBorders>
              <w:top w:val="single" w:color="E2E8F0" w:sz="1"/>
              <w:left w:val="single" w:color="E2E8F0" w:sz="1"/>
              <w:bottom w:val="single" w:color="E2E8F0" w:sz="1"/>
              <w:right w:val="single" w:color="E2E8F0" w:sz="1"/>
            </w:tcBorders>
            <w:shd w:fill="E8F6F8"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Email (Make.com webhook) + WhatsApp Business API</w:t>
            </w:r>
          </w:p>
        </w:tc>
        <w:tc>
          <w:tcPr>
            <w:tcW w:type="dxa" w:w="3500"/>
            <w:gridSpan w:val="1"/>
            <w:tcBorders>
              <w:top w:val="single" w:color="E2E8F0" w:sz="1"/>
              <w:left w:val="single" w:color="E2E8F0" w:sz="1"/>
              <w:bottom w:val="single" w:color="E2E8F0" w:sz="1"/>
              <w:right w:val="single" w:color="E2E8F0" w:sz="1"/>
            </w:tcBorders>
            <w:shd w:fill="E8F6F8"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Cover highest-volume channels. Build adapter contract first.</w:t>
            </w:r>
          </w:p>
        </w:tc>
      </w:tr>
      <w:tr>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64748B"/>
                <w:sz w:val="18"/>
                <w:szCs w:val="18"/>
              </w:rPr>
              <w:t xml:space="preserve">Phase 2 — Planned</w:t>
            </w:r>
          </w:p>
        </w:tc>
        <w:tc>
          <w:tcPr>
            <w:tcW w:type="dxa" w:w="3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Twitter/X, IVR (Twilio), Web Chat widget</w:t>
            </w:r>
          </w:p>
        </w:tc>
        <w:tc>
          <w:tcPr>
            <w:tcW w:type="dxa" w:w="3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Twitter API Basic tier costs $100/month. IVR needs Twilio setup. Adapter stubs already written.</w:t>
            </w:r>
          </w:p>
        </w:tc>
      </w:tr>
    </w:tbl>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4.4  Docker and Local Development Evolution</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Initial Docker images were oversized — the Maven build stage was leaking into the final image (800MB Maven image visible in Docker Desktop). The api-gateway was 497MB, db-writer 560MB, and ai-core 1.25GB. A multi-stage Dockerfile approach was planned to bring these to approximately 120MB, 110MB, and 600MB respectively.</w:t>
      </w:r>
    </w:p>
    <w:p>
      <w:pPr>
        <w:spacing w:after="0" w:before="3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During active development, Docker was paused entirely in favour of a local-first approach. A single dev.sh entry point was created with RUN_MODE=local (default) or RUN_MODE=docker. Local mode uses Quarkus Dev Mode, uvicorn --reload, and npm run dev. This dramatically reduced the feedback loop during development.</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5.  Functional Evolution — Features Added During Development</w:t>
      </w:r>
    </w:p>
    <w:p>
      <w:pPr>
        <w:pStyle w:val="Heading2"/>
        <w:spacing w:after="80" w:before="280"/>
      </w:pPr>
      <w:r>
        <w:rPr>
          <w:rFonts w:ascii="Calibri" w:cs="Calibri" w:eastAsia="Calibri" w:hAnsi="Calibri"/>
          <w:b/>
          <w:bCs/>
          <w:i w:val="false"/>
          <w:iCs w:val="false"/>
          <w:color w:val="028090"/>
          <w:sz w:val="26"/>
          <w:szCs w:val="26"/>
        </w:rPr>
        <w:t xml:space="preserve">5.1  Phase 1 Features — What Was Actually Built</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following features are built and live in Phase 1:</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Email + WhatsApp channels — both inbound and outbound (Meta Graph API send)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Identity gate — AI confirms who the citizen is before creating a ticket</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PII scrubbing — Presidio with India-specific patterns (Aadhaar, PAN, mobile)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Classification — category, subcategory, intent, sentiment scoring</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AI priority scoring — weighted: sentiment × SLA urgency × repeat contact × channel severity</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SQLite WAL via db-writer — single writer, Caffeine cache, REST API</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Full agent dashboard — Analytics tab, Ticket Queue tab, Administration tab</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Outbound email + WhatsApp notifications — ticket creation, status updates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JWT auth + RBAC — three roles: admin, lead, agent</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Transaction tracing — shared traceId across all four services via grep-able logs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Cross-channel ticket threading and deduplication — subject-line and explicit-reference matching</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Configurable per-channel intake fields — admin-configurable at runtime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Configurable AI priority rubric — free-text, no code deployment needed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Queue separation — confirmed vs unconfirmed queue with 14-day auto-close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Citizen-facing notifications — identity request, acknowledgement, status update emails</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5.2  Features Added That Were Not in the Original Spec</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Several features were added during development that were not in the original 14-feature MD set:</w:t>
      </w:r>
    </w:p>
    <w:p>
      <w:pPr>
        <w:spacing w:after="0" w:before="3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Feature Added</w:t>
            </w:r>
          </w:p>
        </w:tc>
        <w:tc>
          <w:tcPr>
            <w:tcW w:type="dxa" w:w="6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Why It Was Added</w:t>
            </w:r>
          </w:p>
        </w:tc>
      </w:tr>
      <w:tr>
        <w:tc>
          <w:tcPr>
            <w:tcW w:type="dxa" w:w="3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Transaction tracing (traceId)</w:t>
            </w:r>
          </w:p>
        </w:tc>
        <w:tc>
          <w:tcPr>
            <w:tcW w:type="dxa" w:w="6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Debugging across 4 async services was impossible without a shared trace identifier. Added as a cross-cutting concern.</w:t>
            </w:r>
          </w:p>
        </w:tc>
      </w:tr>
      <w:tr>
        <w:tc>
          <w:tcPr>
            <w:tcW w:type="dxa" w:w="3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Configurable intake fields</w:t>
            </w:r>
          </w:p>
        </w:tc>
        <w:tc>
          <w:tcPr>
            <w:tcW w:type="dxa" w:w="6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Real-world use cases showed that different tenants need different information from citizens. Hard-coding fields was not viable.</w:t>
            </w:r>
          </w:p>
        </w:tc>
      </w:tr>
      <w:tr>
        <w:tc>
          <w:tcPr>
            <w:tcW w:type="dxa" w:w="3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Configurable AI priority rubric</w:t>
            </w:r>
          </w:p>
        </w:tc>
        <w:tc>
          <w:tcPr>
            <w:tcW w:type="dxa" w:w="6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Tenants need to define what 'high priority' means for their domain. Free-text rubric passed to LLM at runtime — no code deploy.</w:t>
            </w:r>
          </w:p>
        </w:tc>
      </w:tr>
      <w:tr>
        <w:tc>
          <w:tcPr>
            <w:tcW w:type="dxa" w:w="3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Queue separation (confirmed/unconfirmed)</w:t>
            </w:r>
          </w:p>
        </w:tc>
        <w:tc>
          <w:tcPr>
            <w:tcW w:type="dxa" w:w="6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Stub tickets created before identity is confirmed cluttered the agent queue. Two-queue model added.</w:t>
            </w:r>
          </w:p>
        </w:tc>
      </w:tr>
      <w:tr>
        <w:tc>
          <w:tcPr>
            <w:tcW w:type="dxa" w:w="3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14-day auto-close scheduler</w:t>
            </w:r>
          </w:p>
        </w:tc>
        <w:tc>
          <w:tcPr>
            <w:tcW w:type="dxa" w:w="6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Unconfirmed tickets need to expire. Without this, the unconfirmed queue would grow indefinitely.</w:t>
            </w:r>
          </w:p>
        </w:tc>
      </w:tr>
      <w:tr>
        <w:tc>
          <w:tcPr>
            <w:tcW w:type="dxa" w:w="3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Subject-line ticket threading</w:t>
            </w:r>
          </w:p>
        </w:tc>
        <w:tc>
          <w:tcPr>
            <w:tcW w:type="dxa" w:w="6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Email replies needed to be matched to existing tickets via In-Reply-To/References headers to avoid duplicate tickets.</w:t>
            </w:r>
          </w:p>
        </w:tc>
      </w:tr>
      <w:tr>
        <w:tc>
          <w:tcPr>
            <w:tcW w:type="dxa" w:w="3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Deterministic fallback for AI</w:t>
            </w:r>
          </w:p>
        </w:tc>
        <w:tc>
          <w:tcPr>
            <w:tcW w:type="dxa" w:w="6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System needed to continue functioning when OpenAI was unavailable. Rule-based fallback added alongside LLM path.</w:t>
            </w:r>
          </w:p>
        </w:tc>
      </w:tr>
      <w:tr>
        <w:tc>
          <w:tcPr>
            <w:tcW w:type="dxa" w:w="3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Admin announcements</w:t>
            </w:r>
          </w:p>
        </w:tc>
        <w:tc>
          <w:tcPr>
            <w:tcW w:type="dxa" w:w="6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Requirement for admin to broadcast messages to all agents via banner and ticker — not in original spec.</w:t>
            </w:r>
          </w:p>
        </w:tc>
      </w:tr>
      <w:tr>
        <w:tc>
          <w:tcPr>
            <w:tcW w:type="dxa" w:w="3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DB reset with password protection</w:t>
            </w:r>
          </w:p>
        </w:tc>
        <w:tc>
          <w:tcPr>
            <w:tcW w:type="dxa" w:w="6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Admin panel needed a way to reset demo/test data without touching the database directly.</w:t>
            </w:r>
          </w:p>
        </w:tc>
      </w:tr>
    </w:tbl>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5.3  Features Deferred to Phase 2</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following features were explicitly deferred — not dropped. Each has a documented implementation path:</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Field-level AES-256-GCM encryption for PII — every schema column marked PHASE_2_ENCRYPT. KMS/Vault path documented.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Twitter/X channel — stubs written, $100/month API cost deferred.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IVR (Twilio Voice) — stubs written, Twilio setup deferred.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Web Chat widget — stubs written, WebSocket server deferred.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SMS/webhook notifications — email only in Phase 1.</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LDAP/Active Directory integration — schema has ldap_dn column ready.</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Blind-index PII search — needed alongside Phase 2 encryption.</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6.  Key Bug Discovered in Production — WhatsApp Conversation Threading</w:t>
      </w:r>
    </w:p>
    <w:p>
      <w:pPr>
        <w:pStyle w:val="Heading2"/>
        <w:spacing w:after="80" w:before="280"/>
      </w:pPr>
      <w:r>
        <w:rPr>
          <w:rFonts w:ascii="Calibri" w:cs="Calibri" w:eastAsia="Calibri" w:hAnsi="Calibri"/>
          <w:b/>
          <w:bCs/>
          <w:i w:val="false"/>
          <w:iCs w:val="false"/>
          <w:color w:val="028090"/>
          <w:sz w:val="26"/>
          <w:szCs w:val="26"/>
        </w:rPr>
        <w:t xml:space="preserve">6.1  What Happened</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During live testing on the deployed WhatsApp integration, a three-message conversation from a single phone number created three separate tickets instead of one:</w:t>
      </w:r>
    </w:p>
    <w:p>
      <w:pPr>
        <w:spacing w:after="0" w:before="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c>
          <w:tcPr>
            <w:tcW w:type="dxa" w:w="14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Message</w:t>
            </w:r>
          </w:p>
        </w:tc>
        <w:tc>
          <w:tcPr>
            <w:tcW w:type="dxa" w:w="38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Content</w:t>
            </w:r>
          </w:p>
        </w:tc>
        <w:tc>
          <w:tcPr>
            <w:tcW w:type="dxa" w:w="38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What Happened</w:t>
            </w:r>
          </w:p>
        </w:tc>
      </w:tr>
      <w:tr>
        <w:tc>
          <w:tcPr>
            <w:tcW w:type="dxa" w:w="14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F172A"/>
                <w:sz w:val="18"/>
                <w:szCs w:val="18"/>
              </w:rPr>
              <w:t xml:space="preserve">Message 1</w:t>
            </w:r>
          </w:p>
        </w:tc>
        <w:tc>
          <w:tcPr>
            <w:tcW w:type="dxa" w:w="3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iCs/>
                <w:color w:val="0F172A"/>
                <w:sz w:val="18"/>
                <w:szCs w:val="18"/>
              </w:rPr>
              <w:t xml:space="preserve">"No power in my area"</w:t>
            </w:r>
          </w:p>
        </w:tc>
        <w:tc>
          <w:tcPr>
            <w:tcW w:type="dxa" w:w="3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TKT-00016 created — unconfirmed ✓ correct</w:t>
            </w:r>
          </w:p>
        </w:tc>
      </w:tr>
      <w:tr>
        <w:tc>
          <w:tcPr>
            <w:tcW w:type="dxa" w:w="14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F172A"/>
                <w:sz w:val="18"/>
                <w:szCs w:val="18"/>
              </w:rPr>
              <w:t xml:space="preserve">Message 2</w:t>
            </w:r>
          </w:p>
        </w:tc>
        <w:tc>
          <w:tcPr>
            <w:tcW w:type="dxa" w:w="3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iCs/>
                <w:color w:val="0F172A"/>
                <w:sz w:val="18"/>
                <w:szCs w:val="18"/>
              </w:rPr>
              <w:t xml:space="preserve">"Nithya" + "Nithya@gmaill.com" + "56784567"</w:t>
            </w:r>
          </w:p>
        </w:tc>
        <w:tc>
          <w:tcPr>
            <w:tcW w:type="dxa" w:w="3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E07B54"/>
                <w:sz w:val="18"/>
                <w:szCs w:val="18"/>
              </w:rPr>
              <w:t xml:space="preserve">TKT-00017 created — confirmed ✗ wrong. Typo email accepted.</w:t>
            </w:r>
          </w:p>
        </w:tc>
      </w:tr>
      <w:tr>
        <w:tc>
          <w:tcPr>
            <w:tcW w:type="dxa" w:w="14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F172A"/>
                <w:sz w:val="18"/>
                <w:szCs w:val="18"/>
              </w:rPr>
              <w:t xml:space="preserve">Message 3</w:t>
            </w:r>
          </w:p>
        </w:tc>
        <w:tc>
          <w:tcPr>
            <w:tcW w:type="dxa" w:w="3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iCs/>
                <w:color w:val="0F172A"/>
                <w:sz w:val="18"/>
                <w:szCs w:val="18"/>
              </w:rPr>
              <w:t xml:space="preserve">"dharshini.s.raj@gmail.com"</w:t>
            </w:r>
          </w:p>
        </w:tc>
        <w:tc>
          <w:tcPr>
            <w:tcW w:type="dxa" w:w="3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E07B54"/>
                <w:sz w:val="18"/>
                <w:szCs w:val="18"/>
              </w:rPr>
              <w:t xml:space="preserve">TKT-00018 created ✗ wrong. Should have updated TKT-00016.</w:t>
            </w:r>
          </w:p>
        </w:tc>
      </w:tr>
    </w:tbl>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6.2  Root Causes Identified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Conversation state key used WhatsApp message ID (wamid) instead of phone number — each message got a new wamid, losing state between messages.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No open-ticket mapping stored in Valkey — no check whether this phone number already had an open ticket before creating a new one.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No email domain typo detection — gmaill.com accepted as valid.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No intent detection — message 2 (identity answer) treated as a new complaint rather than a continuation.</w:t>
      </w:r>
    </w:p>
    <w:p>
      <w:pPr>
        <w:spacing w:after="0" w:before="40"/>
      </w:pPr>
      <w:r>
        <w:t xml:space="preserve"/>
      </w:r>
    </w:p>
    <w:p>
      <w:pPr>
        <w:pStyle w:val="Heading2"/>
        <w:spacing w:after="80" w:before="280"/>
      </w:pPr>
      <w:r>
        <w:rPr>
          <w:rFonts w:ascii="Calibri" w:cs="Calibri" w:eastAsia="Calibri" w:hAnsi="Calibri"/>
          <w:b/>
          <w:bCs/>
          <w:i w:val="false"/>
          <w:iCs w:val="false"/>
          <w:color w:val="028090"/>
          <w:sz w:val="26"/>
          <w:szCs w:val="26"/>
        </w:rPr>
        <w:t xml:space="preserve">6.3  Fix Approach</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A targeted fix was designed with four components, preserving email adapter threading (separate code path, unchanged) and all other services:</w:t>
      </w:r>
    </w:p>
    <w:p>
      <w:pPr>
        <w:spacing w:after="0" w:before="2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Fix 1: Change WhatsApp conversation key to phone number in E.164 format — deterministic across all messages.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Fix 2: Store open-ticket mapping in Valkey on stub creation, check on every inbound message.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Fix 3: Add email domain typo detection for known consumer email typos (gmaill.com → gmail.com).</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Fix 4: Add intent detection — distinguish identity gate answers from new complaint content before creating a new ticket.</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7.  Dashboard and RBAC Evolution</w:t>
      </w:r>
    </w:p>
    <w:p>
      <w:pPr>
        <w:pStyle w:val="Heading2"/>
        <w:spacing w:after="80" w:before="280"/>
      </w:pPr>
      <w:r>
        <w:rPr>
          <w:rFonts w:ascii="Calibri" w:cs="Calibri" w:eastAsia="Calibri" w:hAnsi="Calibri"/>
          <w:b/>
          <w:bCs/>
          <w:i w:val="false"/>
          <w:iCs w:val="false"/>
          <w:color w:val="028090"/>
          <w:sz w:val="26"/>
          <w:szCs w:val="26"/>
        </w:rPr>
        <w:t xml:space="preserve">7.1  Original Dashboard Concept</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original spec called for a functional-minimal dashboard — a basic UI to demonstrate the backend features. As development progressed the dashboard specification grew significantly, informed by what real agents would need.</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7.2  RBAC — Three Roles Defined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Capability</w:t>
            </w:r>
          </w:p>
        </w:tc>
        <w:tc>
          <w:tcPr>
            <w:tcW w:type="dxa" w:w="18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center"/>
            </w:pPr>
            <w:r>
              <w:rPr>
                <w:rFonts w:ascii="Calibri" w:cs="Calibri" w:eastAsia="Calibri" w:hAnsi="Calibri"/>
                <w:b/>
                <w:bCs/>
                <w:i w:val="false"/>
                <w:iCs w:val="false"/>
                <w:color w:val="FFFFFF"/>
                <w:sz w:val="19"/>
                <w:szCs w:val="19"/>
              </w:rPr>
              <w:t xml:space="preserve">Admin</w:t>
            </w:r>
          </w:p>
        </w:tc>
        <w:tc>
          <w:tcPr>
            <w:tcW w:type="dxa" w:w="1800"/>
            <w:gridSpan w:val="1"/>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after="50" w:before="50" w:line="276" w:lineRule="auto"/>
              <w:jc w:val="center"/>
            </w:pPr>
            <w:r>
              <w:rPr>
                <w:rFonts w:ascii="Calibri" w:cs="Calibri" w:eastAsia="Calibri" w:hAnsi="Calibri"/>
                <w:b/>
                <w:bCs/>
                <w:i w:val="false"/>
                <w:iCs w:val="false"/>
                <w:color w:val="FFFFFF"/>
                <w:sz w:val="19"/>
                <w:szCs w:val="19"/>
              </w:rPr>
              <w:t xml:space="preserve">Lead</w:t>
            </w:r>
          </w:p>
        </w:tc>
        <w:tc>
          <w:tcPr>
            <w:tcW w:type="dxa" w:w="1800"/>
            <w:gridSpan w:val="1"/>
            <w:tcBorders>
              <w:top w:val="none" w:color="FFFFFF" w:sz="0"/>
              <w:left w:val="none" w:color="FFFFFF" w:sz="0"/>
              <w:bottom w:val="none" w:color="FFFFFF" w:sz="0"/>
              <w:right w:val="none" w:color="FFFFFF" w:sz="0"/>
            </w:tcBorders>
            <w:shd w:fill="64748B" w:val="clear"/>
            <w:tcMar>
              <w:top w:type="dxa" w:w="80"/>
              <w:left w:type="dxa" w:w="120"/>
              <w:bottom w:type="dxa" w:w="80"/>
              <w:right w:type="dxa" w:w="120"/>
            </w:tcMar>
            <w:vAlign w:val="top"/>
          </w:tcPr>
          <w:p>
            <w:pPr>
              <w:spacing w:after="50" w:before="50" w:line="276" w:lineRule="auto"/>
              <w:jc w:val="center"/>
            </w:pPr>
            <w:r>
              <w:rPr>
                <w:rFonts w:ascii="Calibri" w:cs="Calibri" w:eastAsia="Calibri" w:hAnsi="Calibri"/>
                <w:b/>
                <w:bCs/>
                <w:i w:val="false"/>
                <w:iCs w:val="false"/>
                <w:color w:val="FFFFFF"/>
                <w:sz w:val="19"/>
                <w:szCs w:val="19"/>
              </w:rPr>
              <w:t xml:space="preserve">Agent</w:t>
            </w:r>
          </w:p>
        </w:tc>
      </w:tr>
      <w:tr>
        <w:tc>
          <w:tcPr>
            <w:tcW w:type="dxa" w:w="36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View all tickets</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0D1B2A"/>
                <w:sz w:val="18"/>
                <w:szCs w:val="18"/>
              </w:rPr>
              <w:t xml:space="preserve">❌ own only</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Change priority / assignee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r>
      <w:tr>
        <w:tc>
          <w:tcPr>
            <w:tcW w:type="dxa" w:w="36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Status: Assigned → In-Progress</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Status: In-Progress → Resolved</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0D1B2A"/>
                <w:sz w:val="18"/>
                <w:szCs w:val="18"/>
              </w:rPr>
              <w:t xml:space="preserve">✅ + note</w:t>
            </w:r>
          </w:p>
        </w:tc>
      </w:tr>
      <w:tr>
        <w:tc>
          <w:tcPr>
            <w:tcW w:type="dxa" w:w="36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Status: Resolved → Closed</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Status: Closed → Reopened</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0D1B2A"/>
                <w:sz w:val="18"/>
                <w:szCs w:val="18"/>
              </w:rPr>
              <w:t xml:space="preserve">❌ + note</w:t>
            </w:r>
          </w:p>
        </w:tc>
      </w:tr>
      <w:tr>
        <w:tc>
          <w:tcPr>
            <w:tcW w:type="dxa" w:w="36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Generate AI resolution summary</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View Administration tab</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r>
      <w:tr>
        <w:tc>
          <w:tcPr>
            <w:tcW w:type="dxa" w:w="36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Manage agents / tenant config</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bCs/>
                <w:i w:val="false"/>
                <w:iCs w:val="false"/>
                <w:color w:val="1A936F"/>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c>
          <w:tcPr>
            <w:tcW w:type="dxa" w:w="18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center"/>
            </w:pPr>
            <w:r>
              <w:rPr>
                <w:rFonts w:ascii="Calibri" w:cs="Calibri" w:eastAsia="Calibri" w:hAnsi="Calibri"/>
                <w:b w:val="false"/>
                <w:bCs w:val="false"/>
                <w:i w:val="false"/>
                <w:iCs w:val="false"/>
                <w:color w:val="E07B54"/>
                <w:sz w:val="18"/>
                <w:szCs w:val="18"/>
              </w:rPr>
              <w:t xml:space="preserve">❌</w:t>
            </w:r>
          </w:p>
        </w:tc>
      </w:tr>
    </w:tbl>
    <w:p>
      <w:pPr>
        <w:spacing w:after="0" w:before="4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Mandatory note minimum of 20 characters enforced on: In-Progress → Resolved, Resolved → Closed, Closed → Reopened. When a ticket is reopened it is assigned back to the agent who closed it; the resolution field is cleared and previous resolution preserved in the notes timeline.</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8.  Deployment Evolution</w:t>
      </w:r>
    </w:p>
    <w:p>
      <w:pPr>
        <w:pStyle w:val="Heading2"/>
        <w:spacing w:after="80" w:before="280"/>
      </w:pPr>
      <w:r>
        <w:rPr>
          <w:rFonts w:ascii="Calibri" w:cs="Calibri" w:eastAsia="Calibri" w:hAnsi="Calibri"/>
          <w:b/>
          <w:bCs/>
          <w:i w:val="false"/>
          <w:iCs w:val="false"/>
          <w:color w:val="028090"/>
          <w:sz w:val="26"/>
          <w:szCs w:val="26"/>
        </w:rPr>
        <w:t xml:space="preserve">8.1  From Kubernetes-First to Local-First</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original architecture was Kubernetes-first with GKE Autopilot as the primary deployment target. During active development, Docker and Kubernetes were paused entirely in favour of a local-first approach to eliminate the build-time feedback loop and free up laptop resources.</w:t>
      </w:r>
    </w:p>
    <w:p>
      <w:pPr>
        <w:spacing w:after="0" w:before="3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A single dev.sh entry point was created supporting two modes: RUN_MODE=local (Quarkus Dev Mode + uvicorn --reload + npm run dev, no Docker) and RUN_MODE=docker (Docker Compose). The local mode became the standard development workflow.</w:t>
      </w:r>
    </w:p>
    <w:p>
      <w:pPr>
        <w:spacing w:after="0" w:before="60"/>
      </w:pPr>
      <w:r>
        <w:t xml:space="preserve"/>
      </w:r>
    </w:p>
    <w:p>
      <w:pPr>
        <w:pStyle w:val="Heading2"/>
        <w:spacing w:after="80" w:before="280"/>
      </w:pPr>
      <w:r>
        <w:rPr>
          <w:rFonts w:ascii="Calibri" w:cs="Calibri" w:eastAsia="Calibri" w:hAnsi="Calibri"/>
          <w:b/>
          <w:bCs/>
          <w:i w:val="false"/>
          <w:iCs w:val="false"/>
          <w:color w:val="028090"/>
          <w:sz w:val="26"/>
          <w:szCs w:val="26"/>
        </w:rPr>
        <w:t xml:space="preserve">8.2  Final Live Deployment — $0/month Stack</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 final production deployment uses four separate cloud providers, chosen for their free tier characteristics and suitability for each service:</w:t>
      </w:r>
    </w:p>
    <w:p>
      <w:pPr>
        <w:spacing w:after="0" w:before="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c>
          <w:tcPr>
            <w:tcW w:type="dxa" w:w="2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Service</w:t>
            </w:r>
          </w:p>
        </w:tc>
        <w:tc>
          <w:tcPr>
            <w:tcW w:type="dxa" w:w="20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Provider</w:t>
            </w:r>
          </w:p>
        </w:tc>
        <w:tc>
          <w:tcPr>
            <w:tcW w:type="dxa" w:w="25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URL</w:t>
            </w:r>
          </w:p>
        </w:tc>
        <w:tc>
          <w:tcPr>
            <w:tcW w:type="dxa" w:w="25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Cost</w:t>
            </w:r>
          </w:p>
        </w:tc>
      </w:tr>
      <w:tr>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dashboard</w:t>
            </w:r>
          </w:p>
        </w:tc>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Vercel</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28090"/>
                <w:sz w:val="17"/>
                <w:szCs w:val="17"/>
              </w:rPr>
              <w:t xml:space="preserve">uniserv-delta.vercel.app</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Free — Next.js native</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api-gateway</w:t>
            </w:r>
          </w:p>
        </w:tc>
        <w:tc>
          <w:tcPr>
            <w:tcW w:type="dxa" w:w="2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Render</w:t>
            </w:r>
          </w:p>
        </w:tc>
        <w:tc>
          <w:tcPr>
            <w:tcW w:type="dxa" w:w="25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28090"/>
                <w:sz w:val="17"/>
                <w:szCs w:val="17"/>
              </w:rPr>
              <w:t xml:space="preserve">uniserve-api-gateway.onrender.com</w:t>
            </w:r>
          </w:p>
        </w:tc>
        <w:tc>
          <w:tcPr>
            <w:tcW w:type="dxa" w:w="25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Free tier</w:t>
            </w:r>
          </w:p>
        </w:tc>
      </w:tr>
      <w:tr>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ai-core</w:t>
            </w:r>
          </w:p>
        </w:tc>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Render</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28090"/>
                <w:sz w:val="17"/>
                <w:szCs w:val="17"/>
              </w:rPr>
              <w:t xml:space="preserve">uniserve-ai-core.onrender.com</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Free tier</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db-writer</w:t>
            </w:r>
          </w:p>
        </w:tc>
        <w:tc>
          <w:tcPr>
            <w:tcW w:type="dxa" w:w="20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Railway</w:t>
            </w:r>
          </w:p>
        </w:tc>
        <w:tc>
          <w:tcPr>
            <w:tcW w:type="dxa" w:w="25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28090"/>
                <w:sz w:val="17"/>
                <w:szCs w:val="17"/>
              </w:rPr>
              <w:t xml:space="preserve">uniserv-production.up.railway.app</w:t>
            </w:r>
          </w:p>
        </w:tc>
        <w:tc>
          <w:tcPr>
            <w:tcW w:type="dxa" w:w="2500"/>
            <w:gridSpan w:val="1"/>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$0 — $5 credit covers 1GB volume</w:t>
            </w:r>
          </w:p>
        </w:tc>
      </w:tr>
      <w:tr>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bCs/>
                <w:i w:val="false"/>
                <w:iCs w:val="false"/>
                <w:color w:val="028090"/>
                <w:sz w:val="18"/>
                <w:szCs w:val="18"/>
              </w:rPr>
              <w:t xml:space="preserve">Valkey</w:t>
            </w:r>
          </w:p>
        </w:tc>
        <w:tc>
          <w:tcPr>
            <w:tcW w:type="dxa" w:w="20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F172A"/>
                <w:sz w:val="18"/>
                <w:szCs w:val="18"/>
              </w:rPr>
              <w:t xml:space="preserve">Upstash</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028090"/>
                <w:sz w:val="17"/>
                <w:szCs w:val="17"/>
              </w:rPr>
              <w:t xml:space="preserve">internal only</w:t>
            </w:r>
          </w:p>
        </w:tc>
        <w:tc>
          <w:tcPr>
            <w:tcW w:type="dxa" w:w="2500"/>
            <w:gridSpan w:val="1"/>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vAlign w:val="top"/>
          </w:tcPr>
          <w:p>
            <w:pPr>
              <w:spacing w:after="50" w:before="50" w:line="276" w:lineRule="auto"/>
              <w:jc w:val="left"/>
            </w:pPr>
            <w:r>
              <w:rPr>
                <w:rFonts w:ascii="Calibri" w:cs="Calibri" w:eastAsia="Calibri" w:hAnsi="Calibri"/>
                <w:b w:val="false"/>
                <w:bCs w:val="false"/>
                <w:i w:val="false"/>
                <w:iCs w:val="false"/>
                <w:color w:val="1A936F"/>
                <w:sz w:val="18"/>
                <w:szCs w:val="18"/>
              </w:rPr>
              <w:t xml:space="preserve">Free — 10k commands/day</w:t>
            </w:r>
          </w:p>
        </w:tc>
      </w:tr>
    </w:tbl>
    <w:p>
      <w:pPr>
        <w:spacing w:after="0" w:before="40"/>
      </w:pPr>
      <w:r>
        <w:t xml:space="preserve"/>
      </w:r>
    </w:p>
    <w:p>
      <w:pPr>
        <w:spacing w:after="50" w:before="50" w:line="276" w:lineRule="auto"/>
        <w:jc w:val="left"/>
      </w:pPr>
      <w:r>
        <w:rPr>
          <w:rFonts w:ascii="Calibri" w:cs="Calibri" w:eastAsia="Calibri" w:hAnsi="Calibri"/>
          <w:b w:val="false"/>
          <w:bCs w:val="false"/>
          <w:i w:val="false"/>
          <w:iCs w:val="false"/>
          <w:color w:val="0F172A"/>
          <w:sz w:val="22"/>
          <w:szCs w:val="22"/>
        </w:rPr>
        <w:t xml:space="preserve">Render free services cold-start after 15 minutes of inactivity. UptimeRobot pings all three backend services every 5 minutes on weekdays 10am–7pm IST to keep them warm, staying within Render's 750 free hours/month limit.</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9.  What Remained Constant Throughout</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Amid all the changes, several core decisions made early held firm:</w:t>
      </w:r>
    </w:p>
    <w:p>
      <w:pPr>
        <w:spacing w:after="0" w:before="3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The core problem statement — a specific, observed pain at TNEB anchored every decision throughout. When in doubt: 'what does Priya actually need?'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The adapter contract pattern — all channels emit the same canonical event shape. This was designed in the first week and never changed. New channels plug in by implementing the contract.</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Multi-tenancy throughout — every event, every database table, every API call carries a tenantId. Designed in from day one.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The AI pipeline sequence — identity gate first, PII scrub before every LLM call, classification, deduplication, priority. The order was right the first time.</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The spec-first development approach — 14+ modular MD feature files written before code. This gave AI coding tools precise context and dramatically reduced regressions.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Phase markers in code — every PII column is marked PHASE_2_ENCRYPT, every deferred code path has a // PHASE_2: comment. Phase 2 is a surgical addition, not an architectural change.</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10.  Chronological Timeline of Key Events</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Date / Period</w:t>
            </w:r>
          </w:p>
        </w:tc>
        <w:tc>
          <w:tcPr>
            <w:tcW w:type="dxa" w:w="7600"/>
            <w:gridSpan w:val="1"/>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9"/>
                <w:szCs w:val="19"/>
              </w:rPr>
              <w:t xml:space="preserve">Event</w:t>
            </w:r>
          </w:p>
        </w:tc>
      </w:tr>
      <w:tr>
        <w:tc>
          <w:tcPr>
            <w:tcW w:type="dxa" w:w="1400"/>
            <w:gridSpan w:val="1"/>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May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Two candidate ideas proposed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Unified complaint portal vs. Hyperlocal market intelligence. Multi-agent review run.</w:t>
            </w:r>
          </w:p>
        </w:tc>
      </w:tr>
      <w:tr>
        <w:tc>
          <w:tcPr>
            <w:tcW w:type="dxa" w:w="1400"/>
            <w:gridSpan w:val="1"/>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May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UniServe chosen</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TNEB interviews (Customer Care Lead + Social Media Monitor) provided real validation. Market Intel eliminated.</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May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Initial architecture designed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Full Python stack. All 5 channels. PostgreSQL. Redis. 14 feature MDs written.</w:t>
            </w:r>
          </w:p>
        </w:tc>
      </w:tr>
      <w:tr>
        <w:tc>
          <w:tcPr>
            <w:tcW w:type="dxa" w:w="1400"/>
            <w:gridSpan w:val="1"/>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May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TNEB Twitter insight added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15-minute ministerial tweet alert became a core feature, anchored in a real interview.</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Quarkus pivot</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All Python → Quarkus Java + Python polyglot. Memory and cost rationale documented.</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Pitch deck v3 generated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9-slide deck with TNEB quotes, Twitter alert slide, process map. Shared with professor.</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PostgreSQL → SQLite WAL</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Single-writer pattern designed. Caffeine cache added. Migration path documented.</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Redis → Valkey</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Licence change in Redis 7.4 identified. Valkey (MIT) adopted as drop-in replacement.</w:t>
            </w:r>
          </w:p>
        </w:tc>
      </w:tr>
      <w:tr>
        <w:tc>
          <w:tcPr>
            <w:tcW w:type="dxa" w:w="1400"/>
            <w:gridSpan w:val="1"/>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DocForge architecture</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Parallel exploration of DocForge (AI engineering docs). 14 feature MDs generated. Not chosen as primary.</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Professor feedback brief</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2-page idea brief sent to professor covering UniServe + DocForge, ROI, deployment modes.</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Jun–Jul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Feature MDs finalised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19 UniServe feature MDs. RBAC defined. Dashboard spec. Ticket workflow. Phase markers.</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Scaffold built</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Monorepo structure. All four services scaffolded. Mocked responses. Health checks.</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JWT conflict documented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quarkus-security-jwt conflict. auth0 java-jwt + AuthFilter kept. Documented for future.</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IMAP → Make.com webhook</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Email inbound delegated to Make.com. IMAP polling removed.</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LangChain → OpenAI Assistants API</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Conversation state and tool calling delegated to Assistants API. LangChain removed.</w:t>
            </w:r>
          </w:p>
        </w:tc>
      </w:tr>
      <w:tr>
        <w:tc>
          <w:tcPr>
            <w:tcW w:type="dxa" w:w="1400"/>
            <w:gridSpan w:val="1"/>
            <w:tcBorders>
              <w:top w:val="none" w:color="FFFFFF" w:sz="0"/>
              <w:left w:val="none" w:color="FFFFFF" w:sz="0"/>
              <w:bottom w:val="none" w:color="FFFFFF" w:sz="0"/>
              <w:right w:val="none" w:color="FFFFFF" w:sz="0"/>
            </w:tcBorders>
            <w:shd w:fill="8B4000"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Local-first dev adopted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Docker paused. dev.sh with RUN_MODE=local. Faster iteration cycle.</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DB Writer real SQLite</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Flyway migrations. Seed data. Real endpoints. Test stubs passing.</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Jul–Aug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Configurable features added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Intake fields, priority rubric, general settings — all admin-configurable at runtime.</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Aug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Queue separation added</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Confirmed vs unconfirmed queues. 14-day auto-close scheduler.</w:t>
            </w:r>
          </w:p>
        </w:tc>
      </w:tr>
      <w:tr>
        <w:tc>
          <w:tcPr>
            <w:tcW w:type="dxa" w:w="1400"/>
            <w:gridSpan w:val="1"/>
            <w:tcBorders>
              <w:top w:val="none" w:color="FFFFFF" w:sz="0"/>
              <w:left w:val="none" w:color="FFFFFF" w:sz="0"/>
              <w:bottom w:val="none" w:color="FFFFFF" w:sz="0"/>
              <w:right w:val="none" w:color="FFFFFF" w:sz="0"/>
            </w:tcBorders>
            <w:shd w:fill="6B1A8B"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Aug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Live deployment</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Vercel + Render + Railway + Upstash. Auto-deploys on git push. $0/month.</w:t>
            </w:r>
          </w:p>
        </w:tc>
      </w:tr>
      <w:tr>
        <w:tc>
          <w:tcPr>
            <w:tcW w:type="dxa" w:w="1400"/>
            <w:gridSpan w:val="1"/>
            <w:tcBorders>
              <w:top w:val="none" w:color="FFFFFF" w:sz="0"/>
              <w:left w:val="none" w:color="FFFFFF" w:sz="0"/>
              <w:bottom w:val="none" w:color="FFFFFF" w:sz="0"/>
              <w:right w:val="none" w:color="FFFFFF" w:sz="0"/>
            </w:tcBorders>
            <w:shd w:fill="E07B54"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Aug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WhatsApp threading bug</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Three tickets from one conversation. Root cause identified. Fix designed.</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Aug 2025</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UI revamp brief</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UI_REVAMP_v2.md generated. News widget, admin announcements, DB reset.</w:t>
            </w:r>
          </w:p>
        </w:tc>
      </w:tr>
      <w:tr>
        <w:tc>
          <w:tcPr>
            <w:tcW w:type="dxa" w:w="1400"/>
            <w:gridSpan w:val="1"/>
            <w:tcBorders>
              <w:top w:val="none" w:color="FFFFFF" w:sz="0"/>
              <w:left w:val="none" w:color="FFFFFF" w:sz="0"/>
              <w:bottom w:val="none" w:color="FFFFFF" w:sz="0"/>
              <w:right w:val="none" w:color="FFFFFF" w:sz="0"/>
            </w:tcBorders>
            <w:shd w:fill="1A936F" w:val="clear"/>
            <w:tcMar>
              <w:top w:type="dxa" w:w="80"/>
              <w:left w:type="dxa" w:w="120"/>
              <w:bottom w:type="dxa" w:w="80"/>
              <w:right w:type="dxa" w:w="120"/>
            </w:tcMar>
            <w:vAlign w:val="top"/>
          </w:tcPr>
          <w:p>
            <w:pPr>
              <w:spacing w:after="50" w:before="50" w:line="276" w:lineRule="auto"/>
              <w:jc w:val="left"/>
            </w:pPr>
            <w:r>
              <w:rPr>
                <w:rFonts w:ascii="Calibri" w:cs="Calibri" w:eastAsia="Calibri" w:hAnsi="Calibri"/>
                <w:b/>
                <w:bCs/>
                <w:i w:val="false"/>
                <w:iCs w:val="false"/>
                <w:color w:val="FFFFFF"/>
                <w:sz w:val="18"/>
                <w:szCs w:val="18"/>
              </w:rPr>
              <w:t xml:space="preserve">Aug 2026</w:t>
            </w:r>
          </w:p>
        </w:tc>
        <w:tc>
          <w:tcPr>
            <w:tcW w:type="dxa" w:w="7600"/>
            <w:gridSpan w:val="1"/>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vAlign w:val="top"/>
          </w:tcPr>
          <w:p>
            <w:pPr>
              <w:spacing w:after="20" w:before="50" w:line="276" w:lineRule="auto"/>
              <w:jc w:val="left"/>
            </w:pPr>
            <w:r>
              <w:rPr>
                <w:rFonts w:ascii="Calibri" w:cs="Calibri" w:eastAsia="Calibri" w:hAnsi="Calibri"/>
                <w:b/>
                <w:bCs/>
                <w:i w:val="false"/>
                <w:iCs w:val="false"/>
                <w:color w:val="0D1B2A"/>
                <w:sz w:val="19"/>
                <w:szCs w:val="19"/>
              </w:rPr>
              <w:t xml:space="preserve">Leadership presentation</w:t>
            </w:r>
          </w:p>
          <w:p>
            <w:pPr>
              <w:spacing w:after="50" w:before="50" w:line="276" w:lineRule="auto"/>
              <w:jc w:val="left"/>
            </w:pPr>
            <w:r>
              <w:rPr>
                <w:rFonts w:ascii="Calibri" w:cs="Calibri" w:eastAsia="Calibri" w:hAnsi="Calibri"/>
                <w:b w:val="false"/>
                <w:bCs w:val="false"/>
                <w:i w:val="false"/>
                <w:iCs w:val="false"/>
                <w:color w:val="64748B"/>
                <w:sz w:val="18"/>
                <w:szCs w:val="18"/>
              </w:rPr>
              <w:t xml:space="preserve">12-slide deck. Live demo. Full project journey presented.</w:t>
            </w:r>
          </w:p>
        </w:tc>
      </w:tr>
    </w:tbl>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11.  Known Gotchas — Hard-Won Lessons</w:t>
      </w:r>
    </w:p>
    <w:p>
      <w:pPr>
        <w:spacing w:after="50" w:before="50" w:line="276" w:lineRule="auto"/>
        <w:jc w:val="left"/>
      </w:pPr>
      <w:r>
        <w:rPr>
          <w:rFonts w:ascii="Calibri" w:cs="Calibri" w:eastAsia="Calibri" w:hAnsi="Calibri"/>
          <w:b w:val="false"/>
          <w:bCs w:val="false"/>
          <w:i w:val="false"/>
          <w:iCs w:val="false"/>
          <w:color w:val="0F172A"/>
          <w:sz w:val="22"/>
          <w:szCs w:val="22"/>
        </w:rPr>
        <w:t xml:space="preserve">These are issues discovered during development that are documented in the README and must be known by anyone maintaining this codebase:</w:t>
      </w:r>
    </w:p>
    <w:p>
      <w:pPr>
        <w:spacing w:after="0" w:before="30"/>
      </w:pPr>
      <w:r>
        <w:t xml:space="preserve"/>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AuthFilter.isProtected() hardcodes path prefixes. Any new RBAC-protected route must be added there or gets a silent NPE on tenantId(). This caused a bug once already when /api/v1/analytics was added.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db-writer port is 8090. Some older feature MDs say 8081 (early draft). The actual port is 8090.</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TicketCache.java hardcodes 1000 entries / 2-minute TTL. Environment variables DB_WRITER_CACHE_MAX_SIZE and DB_WRITER_CACHE_TTL_MINUTES are defined but not read.</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IntakeFieldsResource.java (Java) and intake_fields.py (Python) share a field catalog that must be kept in sync manually. There is no code-level enforcement.</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TENANT_ID must be t1 in dev seed data (not 'default'). Several older docs say 'default' but the seed data uses t1.</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WhatsApp 24-hour window: outbound WhatsApp only supports free-form text within 24 hours of the citizen's last inbound message. Outside that window, Meta requires pre-approved templates.</w:t>
      </w:r>
    </w:p>
    <w:p>
      <w:pPr>
        <w:pStyle w:val="ListParagraph"/>
        <w:numPr>
          <w:ilvl w:val="0"/>
          <w:numId w:val="2"/>
        </w:numPr>
        <w:spacing w:after="30" w:before="30"/>
      </w:pPr>
      <w:r>
        <w:rPr>
          <w:rFonts w:ascii="Calibri" w:cs="Calibri" w:eastAsia="Calibri" w:hAnsi="Calibri"/>
          <w:b w:val="false"/>
          <w:bCs w:val="false"/>
          <w:i w:val="false"/>
          <w:iCs w:val="false"/>
          <w:color w:val="0F172A"/>
          <w:sz w:val="22"/>
          <w:szCs w:val="22"/>
        </w:rPr>
        <w:t xml:space="preserve">PII fields are stored in plaintext in Phase 1. Phase 2 encryption path is designed and marked in the schema — PHASE_2_ENCRYPT comments on every relevant column.</w:t>
      </w:r>
    </w:p>
    <w:p>
      <w:pPr>
        <w:spacing w:after="0" w:before="80"/>
      </w:pPr>
      <w:r>
        <w:t xml:space="preserve"/>
      </w:r>
    </w:p>
    <w:p>
      <w:pPr>
        <w:pStyle w:val="Heading1"/>
        <w:pBdr>
          <w:bottom w:val="single" w:color="028090" w:sz="8" w:space="4"/>
        </w:pBdr>
        <w:spacing w:after="120" w:before="400"/>
      </w:pPr>
      <w:r>
        <w:rPr>
          <w:rFonts w:ascii="Calibri" w:cs="Calibri" w:eastAsia="Calibri" w:hAnsi="Calibri"/>
          <w:b/>
          <w:bCs/>
          <w:i w:val="false"/>
          <w:iCs w:val="false"/>
          <w:color w:val="0D1B2A"/>
          <w:sz w:val="32"/>
          <w:szCs w:val="32"/>
        </w:rPr>
        <w:t xml:space="preserve">12.  Final State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none" w:color="FFFFFF" w:sz="0"/>
              <w:left w:val="none" w:color="FFFFFF" w:sz="0"/>
              <w:bottom w:val="none" w:color="FFFFFF" w:sz="0"/>
              <w:right w:val="none" w:color="FFFFFF" w:sz="0"/>
            </w:tcBorders>
            <w:shd w:fill="0D1B2A" w:val="clear"/>
            <w:tcMar>
              <w:top w:type="dxa" w:w="140"/>
              <w:left w:type="dxa" w:w="200"/>
              <w:bottom w:type="dxa" w:w="140"/>
              <w:right w:type="dxa" w:w="200"/>
            </w:tcMar>
            <w:vAlign w:val="top"/>
          </w:tcPr>
          <w:p>
            <w:pPr>
              <w:spacing w:after="60" w:before="50" w:line="276" w:lineRule="auto"/>
              <w:jc w:val="center"/>
            </w:pPr>
            <w:r>
              <w:rPr>
                <w:rFonts w:ascii="Calibri" w:cs="Calibri" w:eastAsia="Calibri" w:hAnsi="Calibri"/>
                <w:b/>
                <w:bCs/>
                <w:i w:val="false"/>
                <w:iCs w:val="false"/>
                <w:color w:val="FFFFFF"/>
                <w:sz w:val="20"/>
                <w:szCs w:val="20"/>
              </w:rPr>
              <w:t xml:space="preserve">Tech Stack</w:t>
            </w:r>
          </w:p>
          <w:p>
            <w:pPr>
              <w:spacing w:after="24" w:before="50" w:line="276" w:lineRule="auto"/>
              <w:jc w:val="left"/>
            </w:pPr>
            <w:r>
              <w:rPr>
                <w:rFonts w:ascii="Calibri" w:cs="Calibri" w:eastAsia="Calibri" w:hAnsi="Calibri"/>
                <w:b/>
                <w:bCs/>
                <w:i w:val="false"/>
                <w:iCs w:val="false"/>
                <w:color w:val="C8EEF0"/>
                <w:sz w:val="18"/>
                <w:szCs w:val="18"/>
              </w:rPr>
              <w:t xml:space="preserve">Backend API:</w:t>
            </w:r>
            <w:r>
              <w:rPr>
                <w:rFonts w:ascii="Calibri" w:cs="Calibri" w:eastAsia="Calibri" w:hAnsi="Calibri"/>
                <w:b w:val="false"/>
                <w:bCs w:val="false"/>
                <w:i w:val="false"/>
                <w:iCs w:val="false"/>
                <w:color w:val="FFFFFF"/>
                <w:sz w:val="18"/>
                <w:szCs w:val="18"/>
              </w:rPr>
              <w:t xml:space="preserve">  Quarkus Java 21 (api-gateway + db-writer)</w:t>
            </w:r>
          </w:p>
          <w:p>
            <w:pPr>
              <w:spacing w:after="24" w:before="50" w:line="276" w:lineRule="auto"/>
              <w:jc w:val="left"/>
            </w:pPr>
            <w:r>
              <w:rPr>
                <w:rFonts w:ascii="Calibri" w:cs="Calibri" w:eastAsia="Calibri" w:hAnsi="Calibri"/>
                <w:b/>
                <w:bCs/>
                <w:i w:val="false"/>
                <w:iCs w:val="false"/>
                <w:color w:val="C8EEF0"/>
                <w:sz w:val="18"/>
                <w:szCs w:val="18"/>
              </w:rPr>
              <w:t xml:space="preserve">AI Services:</w:t>
            </w:r>
            <w:r>
              <w:rPr>
                <w:rFonts w:ascii="Calibri" w:cs="Calibri" w:eastAsia="Calibri" w:hAnsi="Calibri"/>
                <w:b w:val="false"/>
                <w:bCs w:val="false"/>
                <w:i w:val="false"/>
                <w:iCs w:val="false"/>
                <w:color w:val="FFFFFF"/>
                <w:sz w:val="18"/>
                <w:szCs w:val="18"/>
              </w:rPr>
              <w:t xml:space="preserve">  Python 3.11 FastAPI (ai-core)</w:t>
            </w:r>
          </w:p>
          <w:p>
            <w:pPr>
              <w:spacing w:after="24" w:before="50" w:line="276" w:lineRule="auto"/>
              <w:jc w:val="left"/>
            </w:pPr>
            <w:r>
              <w:rPr>
                <w:rFonts w:ascii="Calibri" w:cs="Calibri" w:eastAsia="Calibri" w:hAnsi="Calibri"/>
                <w:b/>
                <w:bCs/>
                <w:i w:val="false"/>
                <w:iCs w:val="false"/>
                <w:color w:val="C8EEF0"/>
                <w:sz w:val="18"/>
                <w:szCs w:val="18"/>
              </w:rPr>
              <w:t xml:space="preserve">LLM:</w:t>
            </w:r>
            <w:r>
              <w:rPr>
                <w:rFonts w:ascii="Calibri" w:cs="Calibri" w:eastAsia="Calibri" w:hAnsi="Calibri"/>
                <w:b w:val="false"/>
                <w:bCs w:val="false"/>
                <w:i w:val="false"/>
                <w:iCs w:val="false"/>
                <w:color w:val="FFFFFF"/>
                <w:sz w:val="18"/>
                <w:szCs w:val="18"/>
              </w:rPr>
              <w:t xml:space="preserve">  OpenAI Classic Assistants API</w:t>
            </w:r>
          </w:p>
          <w:p>
            <w:pPr>
              <w:spacing w:after="24" w:before="50" w:line="276" w:lineRule="auto"/>
              <w:jc w:val="left"/>
            </w:pPr>
            <w:r>
              <w:rPr>
                <w:rFonts w:ascii="Calibri" w:cs="Calibri" w:eastAsia="Calibri" w:hAnsi="Calibri"/>
                <w:b/>
                <w:bCs/>
                <w:i w:val="false"/>
                <w:iCs w:val="false"/>
                <w:color w:val="C8EEF0"/>
                <w:sz w:val="18"/>
                <w:szCs w:val="18"/>
              </w:rPr>
              <w:t xml:space="preserve">Event Bus:</w:t>
            </w:r>
            <w:r>
              <w:rPr>
                <w:rFonts w:ascii="Calibri" w:cs="Calibri" w:eastAsia="Calibri" w:hAnsi="Calibri"/>
                <w:b w:val="false"/>
                <w:bCs w:val="false"/>
                <w:i w:val="false"/>
                <w:iCs w:val="false"/>
                <w:color w:val="FFFFFF"/>
                <w:sz w:val="18"/>
                <w:szCs w:val="18"/>
              </w:rPr>
              <w:t xml:space="preserve">  Valkey 7.2 (MIT licensed)</w:t>
            </w:r>
          </w:p>
          <w:p>
            <w:pPr>
              <w:spacing w:after="24" w:before="50" w:line="276" w:lineRule="auto"/>
              <w:jc w:val="left"/>
            </w:pPr>
            <w:r>
              <w:rPr>
                <w:rFonts w:ascii="Calibri" w:cs="Calibri" w:eastAsia="Calibri" w:hAnsi="Calibri"/>
                <w:b/>
                <w:bCs/>
                <w:i w:val="false"/>
                <w:iCs w:val="false"/>
                <w:color w:val="C8EEF0"/>
                <w:sz w:val="18"/>
                <w:szCs w:val="18"/>
              </w:rPr>
              <w:t xml:space="preserve">Database:</w:t>
            </w:r>
            <w:r>
              <w:rPr>
                <w:rFonts w:ascii="Calibri" w:cs="Calibri" w:eastAsia="Calibri" w:hAnsi="Calibri"/>
                <w:b w:val="false"/>
                <w:bCs w:val="false"/>
                <w:i w:val="false"/>
                <w:iCs w:val="false"/>
                <w:color w:val="FFFFFF"/>
                <w:sz w:val="18"/>
                <w:szCs w:val="18"/>
              </w:rPr>
              <w:t xml:space="preserve">  SQLite WAL — single writer pattern</w:t>
            </w:r>
          </w:p>
          <w:p>
            <w:pPr>
              <w:spacing w:after="24" w:before="50" w:line="276" w:lineRule="auto"/>
              <w:jc w:val="left"/>
            </w:pPr>
            <w:r>
              <w:rPr>
                <w:rFonts w:ascii="Calibri" w:cs="Calibri" w:eastAsia="Calibri" w:hAnsi="Calibri"/>
                <w:b/>
                <w:bCs/>
                <w:i w:val="false"/>
                <w:iCs w:val="false"/>
                <w:color w:val="C8EEF0"/>
                <w:sz w:val="18"/>
                <w:szCs w:val="18"/>
              </w:rPr>
              <w:t xml:space="preserve">Frontend:</w:t>
            </w:r>
            <w:r>
              <w:rPr>
                <w:rFonts w:ascii="Calibri" w:cs="Calibri" w:eastAsia="Calibri" w:hAnsi="Calibri"/>
                <w:b w:val="false"/>
                <w:bCs w:val="false"/>
                <w:i w:val="false"/>
                <w:iCs w:val="false"/>
                <w:color w:val="FFFFFF"/>
                <w:sz w:val="18"/>
                <w:szCs w:val="18"/>
              </w:rPr>
              <w:t xml:space="preserve">  Next.js 14 PWA</w:t>
            </w:r>
          </w:p>
          <w:p>
            <w:pPr>
              <w:spacing w:after="24" w:before="50" w:line="276" w:lineRule="auto"/>
              <w:jc w:val="left"/>
            </w:pPr>
            <w:r>
              <w:rPr>
                <w:rFonts w:ascii="Calibri" w:cs="Calibri" w:eastAsia="Calibri" w:hAnsi="Calibri"/>
                <w:b/>
                <w:bCs/>
                <w:i w:val="false"/>
                <w:iCs w:val="false"/>
                <w:color w:val="C8EEF0"/>
                <w:sz w:val="18"/>
                <w:szCs w:val="18"/>
              </w:rPr>
              <w:t xml:space="preserve">Auth:</w:t>
            </w:r>
            <w:r>
              <w:rPr>
                <w:rFonts w:ascii="Calibri" w:cs="Calibri" w:eastAsia="Calibri" w:hAnsi="Calibri"/>
                <w:b w:val="false"/>
                <w:bCs w:val="false"/>
                <w:i w:val="false"/>
                <w:iCs w:val="false"/>
                <w:color w:val="FFFFFF"/>
                <w:sz w:val="18"/>
                <w:szCs w:val="18"/>
              </w:rPr>
              <w:t xml:space="preserve">  auth0 java-jwt + AuthFilter</w:t>
            </w:r>
          </w:p>
          <w:p>
            <w:pPr>
              <w:spacing w:after="24" w:before="50" w:line="276" w:lineRule="auto"/>
              <w:jc w:val="left"/>
            </w:pPr>
            <w:r>
              <w:rPr>
                <w:rFonts w:ascii="Calibri" w:cs="Calibri" w:eastAsia="Calibri" w:hAnsi="Calibri"/>
                <w:b/>
                <w:bCs/>
                <w:i w:val="false"/>
                <w:iCs w:val="false"/>
                <w:color w:val="C8EEF0"/>
                <w:sz w:val="18"/>
                <w:szCs w:val="18"/>
              </w:rPr>
              <w:t xml:space="preserve">Deployment:</w:t>
            </w:r>
            <w:r>
              <w:rPr>
                <w:rFonts w:ascii="Calibri" w:cs="Calibri" w:eastAsia="Calibri" w:hAnsi="Calibri"/>
                <w:b w:val="false"/>
                <w:bCs w:val="false"/>
                <w:i w:val="false"/>
                <w:iCs w:val="false"/>
                <w:color w:val="FFFFFF"/>
                <w:sz w:val="18"/>
                <w:szCs w:val="18"/>
              </w:rPr>
              <w:t xml:space="preserve">  Vercel + Render + Railway + Upstash</w:t>
            </w:r>
          </w:p>
        </w:tc>
        <w:tc>
          <w:tcPr>
            <w:tcW w:type="dxa" w:w="4500"/>
            <w:gridSpan w:val="1"/>
            <w:tcBorders>
              <w:top w:val="none" w:color="FFFFFF" w:sz="0"/>
              <w:left w:val="none" w:color="FFFFFF" w:sz="0"/>
              <w:bottom w:val="none" w:color="FFFFFF" w:sz="0"/>
              <w:right w:val="none" w:color="FFFFFF" w:sz="0"/>
            </w:tcBorders>
            <w:shd w:fill="028090" w:val="clear"/>
            <w:tcMar>
              <w:top w:type="dxa" w:w="140"/>
              <w:left w:type="dxa" w:w="200"/>
              <w:bottom w:type="dxa" w:w="140"/>
              <w:right w:type="dxa" w:w="200"/>
            </w:tcMar>
            <w:vAlign w:val="top"/>
          </w:tcPr>
          <w:p>
            <w:pPr>
              <w:spacing w:after="60" w:before="50" w:line="276" w:lineRule="auto"/>
              <w:jc w:val="center"/>
            </w:pPr>
            <w:r>
              <w:rPr>
                <w:rFonts w:ascii="Calibri" w:cs="Calibri" w:eastAsia="Calibri" w:hAnsi="Calibri"/>
                <w:b/>
                <w:bCs/>
                <w:i w:val="false"/>
                <w:iCs w:val="false"/>
                <w:color w:val="FFFFFF"/>
                <w:sz w:val="20"/>
                <w:szCs w:val="20"/>
              </w:rPr>
              <w:t xml:space="preserve">What Is Live</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Email + WhatsApp channels (inbound + outbound)</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AI identity gate + conversation agent</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PII scrubbing before every LLM call</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Classification + priority scoring</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Full agent dashboard — all three tabs</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RBAC: admin / lead / agent roles</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Ticket workflow + mandatory notes</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AI resolution summary generation</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Admin: intake fields, priority rubric, announcements</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Citizen status portal (public, SSR)</w:t>
            </w:r>
          </w:p>
          <w:p>
            <w:pPr>
              <w:spacing w:after="20" w:before="50" w:line="276" w:lineRule="auto"/>
              <w:jc w:val="left"/>
            </w:pPr>
            <w:r>
              <w:rPr>
                <w:rFonts w:ascii="Calibri" w:cs="Calibri" w:eastAsia="Calibri" w:hAnsi="Calibri"/>
                <w:b w:val="false"/>
                <w:bCs w:val="false"/>
                <w:i w:val="false"/>
                <w:iCs w:val="false"/>
                <w:color w:val="C8EEF0"/>
                <w:sz w:val="18"/>
                <w:szCs w:val="18"/>
              </w:rPr>
              <w:t xml:space="preserve">✓  Transaction tracing across all 4 services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spacing w:after="0" w:before="60"/>
      <w:jc w:val="center"/>
    </w:pPr>
    <w:r>
      <w:rPr>
        <w:rFonts w:ascii="Calibri" w:cs="Calibri" w:eastAsia="Calibri" w:hAnsi="Calibri"/>
        <w:b w:val="false"/>
        <w:bCs w:val="false"/>
        <w:i w:val="false"/>
        <w:iCs w:val="false"/>
        <w:color w:val="64748B"/>
        <w:sz w:val="16"/>
        <w:szCs w:val="16"/>
      </w:rPr>
      <w:t xml:space="preserve">Internal Document — UniServe Capstone  |  Page </w:t>
    </w:r>
    <w:r>
      <w:rPr>
        <w:rFonts w:ascii="Calibri" w:cs="Calibri" w:eastAsia="Calibri" w:hAnsi="Calibri"/>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spacing w:after="60" w:before="0"/>
      <w:jc w:val="right"/>
    </w:pPr>
    <w:r>
      <w:rPr>
        <w:rFonts w:ascii="Calibri" w:cs="Calibri" w:eastAsia="Calibri" w:hAnsi="Calibri"/>
        <w:b w:val="false"/>
        <w:bCs w:val="false"/>
        <w:i w:val="false"/>
        <w:iCs w:val="false"/>
        <w:color w:val="64748B"/>
        <w:sz w:val="16"/>
        <w:szCs w:val="16"/>
      </w:rPr>
      <w:t xml:space="preserve">UniServe — Project Evolution Document  |  Idea to Production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8" w:space="4"/>
      </w:pBdr>
      <w:spacing w:after="120" w:before="400"/>
      <w:outlineLvl w:val="0"/>
    </w:pPr>
    <w:rPr>
      <w:rFonts w:ascii="Calibri" w:cs="Calibri" w:eastAsia="Calibri" w:hAnsi="Calibri"/>
      <w:b/>
      <w:bCs/>
      <w:color w:val="0D1B2A"/>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028090"/>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2026-08-08T11:02:51.987Z</dcterms:created>
  <dcterms:modified xsi:type="dcterms:W3CDTF">2026-08-08T11:02:52.001Z</dcterms:modified>
</cp:coreProperties>
</file>

<file path=docProps/custom.xml><?xml version="1.0" encoding="utf-8"?>
<Properties xmlns="http://schemas.openxmlformats.org/officeDocument/2006/custom-properties" xmlns:vt="http://schemas.openxmlformats.org/officeDocument/2006/docPropsVTypes"/>
</file>