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Qui sommes-nous :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ASF INVESTMENTS SA est une société de gestion de fortune suisse à dimension internationale.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Nous offrons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Remplacer : Conseil Patrimonial par « Conseil et Structuration » </w:t>
      </w:r>
    </w:p>
    <w:p>
      <w:pPr>
        <w:pStyle w:val="Normal"/>
        <w:rPr>
          <w:color w:val="FF0000"/>
          <w:shd w:fill="FFFF00" w:val="clear"/>
        </w:rPr>
      </w:pPr>
      <w:r>
        <w:rPr>
          <w:shd w:fill="FFFF00" w:val="clear"/>
        </w:rPr>
        <w:t>Chef d’entreprise</w:t>
      </w:r>
      <w:r>
        <w:rPr>
          <w:b/>
          <w:color w:val="FF0000"/>
          <w:shd w:fill="FFFF00" w:val="clear"/>
        </w:rPr>
        <w:t>,</w:t>
      </w:r>
      <w:r>
        <w:rPr>
          <w:color w:val="FF0000"/>
          <w:shd w:fill="FFFF00" w:val="clear"/>
        </w:rPr>
        <w:t xml:space="preserve">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« Diagnostic globale de votre situation, à savoir, juridique, fiscal, successoral et financier »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Dans un contexte juridique et fiscal en constante évolution, nous nous assurons de l’adéquation des stratégies mis en place dans le temps.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Dans gestion d’actifs : supprimer « A » et « B » 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Remplacer les points rouges sur le côté 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La carre contact trop grand 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Rajouter le </w:t>
      </w:r>
      <w:r>
        <w:rPr>
          <w:b/>
          <w:shd w:fill="FFFF00" w:val="clear"/>
        </w:rPr>
        <w:t>crédit</w:t>
      </w:r>
      <w:r>
        <w:rPr>
          <w:shd w:fill="FFFF00" w:val="clear"/>
        </w:rPr>
        <w:t xml:space="preserve"> et </w:t>
      </w:r>
      <w:r>
        <w:rPr>
          <w:b/>
          <w:shd w:fill="FFFF00" w:val="clear"/>
        </w:rPr>
        <w:t>Placements fiduciaires</w:t>
      </w:r>
      <w:r>
        <w:rPr>
          <w:shd w:fill="FFFF00" w:val="clear"/>
        </w:rPr>
        <w:t xml:space="preserve"> dans les services bancaires 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La couleur lorsque tu mets la souris sur contact par exemple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hd w:fill="FFFF00" w:val="clear"/>
        </w:rPr>
      </w:pPr>
      <w:r>
        <w:rPr>
          <w:b/>
          <w:shd w:fill="FFFF00" w:val="clear"/>
        </w:rPr>
        <w:t xml:space="preserve">Dans services de fiduciaires : </w:t>
      </w:r>
    </w:p>
    <w:p>
      <w:pPr>
        <w:pStyle w:val="Normal"/>
        <w:rPr>
          <w:rFonts w:cs="Helvetica"/>
          <w:shd w:fill="FFFF00" w:val="clear"/>
        </w:rPr>
      </w:pPr>
      <w:r>
        <w:rPr>
          <w:rFonts w:cs="Helvetica"/>
          <w:shd w:fill="FFFF00" w:val="clear"/>
        </w:rPr>
        <w:t>Le recours à un trust, une fondation ou une société de trust privée peut vous permettre de sécuriser votre patrimoine, de planifier sa transmission, tout en optimisant votre situation fiscale.</w:t>
      </w:r>
    </w:p>
    <w:p>
      <w:pPr>
        <w:pStyle w:val="NormalWeb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 xml:space="preserve">En effet, la mise en place d’une fiducie ou d’une société, peut vous permettre de transférer, de votre vivant ou par testament (fiducie testamentaire), des actifs à une personne ou à un œuvre  de charité et d’établir l'utilisation de ce patrimoine. </w:t>
      </w:r>
    </w:p>
    <w:p>
      <w:pPr>
        <w:pStyle w:val="NormalWeb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La constitution d'une fiducie peut également être un moyen efficace de vous assurer un revenu ainsi qu’aux futures générations, tout en réduisant les droits de succession et les délais liés à la distribution de ces actifs à vos bénéficiaires.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Vous pouvez désigner un fiduciaire unique, ou des cofiduciaires (avec vous-même, un membre de votre famille ou un ami).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Le rôle du fiduciaire sera de veiller à la protection des actifs en fiducie, en trust ou en société,  assurer la bonne tenue des comptes et rendre des comptes détaillés aux bénéficiaires.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hd w:fill="FFFF00" w:val="clear"/>
        </w:rPr>
      </w:pPr>
      <w:r>
        <w:rPr>
          <w:b/>
          <w:shd w:fill="FFFF00" w:val="clear"/>
        </w:rPr>
        <w:t xml:space="preserve">Pour Contact : </w:t>
      </w:r>
    </w:p>
    <w:p>
      <w:pPr>
        <w:pStyle w:val="Normal"/>
        <w:rPr>
          <w:rStyle w:val="Br1"/>
          <w:rFonts w:cs="Tahoma" w:ascii="Tahoma" w:hAnsi="Tahoma"/>
          <w:sz w:val="18"/>
          <w:szCs w:val="18"/>
          <w:shd w:fill="FFFF00" w:val="clear"/>
        </w:rPr>
      </w:pPr>
      <w:r>
        <w:rPr>
          <w:rFonts w:cs="Tahoma" w:ascii="Tahoma" w:hAnsi="Tahoma"/>
          <w:sz w:val="18"/>
          <w:szCs w:val="18"/>
          <w:shd w:fill="FFFF00" w:val="clear"/>
        </w:rPr>
        <w:t xml:space="preserve">6 Place de L’Université 1205 Genève </w:t>
      </w:r>
      <w:r>
        <w:rPr>
          <w:rStyle w:val="Br1"/>
          <w:rFonts w:cs="Tahoma" w:ascii="Tahoma" w:hAnsi="Tahoma"/>
          <w:sz w:val="18"/>
          <w:szCs w:val="18"/>
          <w:shd w:fill="FFFF00" w:val="clear"/>
        </w:rPr>
        <w:t>Suisse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shd w:fill="FFFF00" w:val="clear"/>
        </w:rPr>
      </w:pPr>
      <w:r>
        <w:rPr>
          <w:b/>
          <w:shd w:fill="FFFF00" w:val="clear"/>
        </w:rPr>
        <w:t xml:space="preserve">Les autres pays :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Ile Maurice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Malte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London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Dubaï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Luxembourg </w:t>
      </w:r>
    </w:p>
    <w:p>
      <w:pPr>
        <w:pStyle w:val="Normal"/>
        <w:spacing w:lineRule="auto" w:line="240" w:before="0" w:afterAutospacing="1"/>
        <w:rPr>
          <w:rFonts w:eastAsia="Times New Roman" w:cs="Tahoma"/>
          <w:shd w:fill="FFFF00" w:val="clear"/>
          <w:lang w:eastAsia="fr-FR"/>
        </w:rPr>
      </w:pPr>
      <w:r>
        <w:rPr>
          <w:rFonts w:eastAsia="Times New Roman" w:cs="Tahoma"/>
          <w:shd w:fill="FFFF00" w:val="clear"/>
          <w:lang w:eastAsia="fr-FR"/>
        </w:rPr>
        <w:t xml:space="preserve">Hong-Kong </w:t>
      </w:r>
    </w:p>
    <w:p>
      <w:pPr>
        <w:pStyle w:val="Normal"/>
        <w:spacing w:lineRule="auto" w:line="240" w:before="0" w:afterAutospacing="1"/>
        <w:rPr>
          <w:rFonts w:eastAsia="Times New Roman" w:cs="Tahoma"/>
          <w:shd w:fill="FFFF00" w:val="clear"/>
          <w:lang w:eastAsia="fr-FR"/>
        </w:rPr>
      </w:pPr>
      <w:r>
        <w:rPr>
          <w:rFonts w:eastAsia="Times New Roman" w:cs="Tahoma"/>
          <w:shd w:fill="FFFF00" w:val="clear"/>
          <w:lang w:eastAsia="fr-FR"/>
        </w:rPr>
        <w:t xml:space="preserve">Singapour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r1" w:customStyle="1">
    <w:name w:val="br1"/>
    <w:rsid w:val="00283a96"/>
    <w:basedOn w:val="DefaultParagraphFont"/>
    <w:rPr>
      <w:vanish w:val="false"/>
    </w:rPr>
  </w:style>
  <w:style w:type="character" w:styleId="LienInternet">
    <w:name w:val="Lien Internet"/>
    <w:uiPriority w:val="99"/>
    <w:semiHidden/>
    <w:unhideWhenUsed/>
    <w:rsid w:val="00d92463"/>
    <w:basedOn w:val="DefaultParagraphFont"/>
    <w:rPr>
      <w:strike w:val="false"/>
      <w:dstrike w:val="false"/>
      <w:color w:val="586168"/>
      <w:u w:val="none"/>
      <w:effect w:val="none"/>
      <w:lang w:val="zxx" w:eastAsia="zxx" w:bidi="zxx"/>
    </w:rPr>
  </w:style>
  <w:style w:type="character" w:styleId="ListLabel1">
    <w:name w:val="ListLabel 1"/>
    <w:rPr>
      <w:sz w:val="20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Noto 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Noto Sans"/>
    </w:rPr>
  </w:style>
  <w:style w:type="paragraph" w:styleId="NormalWeb">
    <w:name w:val="Normal (Web)"/>
    <w:uiPriority w:val="99"/>
    <w:unhideWhenUsed/>
    <w:rsid w:val="0094435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2015-02-16T14:40:00Z</dcterms:created>
  <dc:creator>admloc</dc:creator>
  <dc:language>fr-FR</dc:language>
  <cp:lastModifiedBy>admloc</cp:lastModifiedBy>
  <dcterms:modified xsi:type="dcterms:W3CDTF">2015-02-16T17:05:00Z</dcterms:modified>
  <cp:revision>15</cp:revision>
</cp:coreProperties>
</file>