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F9" w:rsidRDefault="00853EB2" w:rsidP="00853EB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853EB2" w:rsidRDefault="00853EB2" w:rsidP="00853EB2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це система збереження життя, </w:t>
      </w:r>
      <w:r w:rsidRPr="00853EB2">
        <w:rPr>
          <w:rFonts w:ascii="Times New Roman" w:hAnsi="Times New Roman" w:cs="Times New Roman"/>
          <w:sz w:val="28"/>
          <w:szCs w:val="28"/>
          <w:lang w:val="uk-UA"/>
        </w:rPr>
        <w:t>здоров'я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працездатності </w:t>
      </w:r>
      <w:r w:rsidRPr="00853EB2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 у процесі трудової діяльності, яка включає правові, соціально-економічні, організаційно-технічні, санітарно-гігієнічні, лікувально-профілактичні</w:t>
      </w:r>
      <w:r>
        <w:rPr>
          <w:rFonts w:ascii="Times New Roman" w:hAnsi="Times New Roman" w:cs="Times New Roman"/>
          <w:sz w:val="28"/>
          <w:szCs w:val="28"/>
          <w:lang w:val="uk-UA"/>
        </w:rPr>
        <w:t>, реабілітаційні та інші заходи.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3EB2">
        <w:rPr>
          <w:rFonts w:ascii="Times New Roman" w:hAnsi="Times New Roman" w:cs="Times New Roman"/>
          <w:sz w:val="28"/>
          <w:szCs w:val="28"/>
          <w:lang w:val="uk-UA"/>
        </w:rPr>
        <w:t>Законодавство про працю містить норми і вимоги з техніки безпеки і виробничої санітарії, норми, що регулюють робочий час і час відпочинку, звільнення та переведення на іншу роботу, норми праці щодо жінок, молоді, гігієнічні норми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пожежні норми,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шуму, освітлення, норми про електробезпеку.</w:t>
      </w:r>
      <w:r w:rsidR="002E24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Законодавча база охорони праці України налічує ряд законів, основними з яких є Закон України "Про охорону праці" та Кодекс законів про працю (</w:t>
      </w:r>
      <w:proofErr w:type="spellStart"/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КЗпП</w:t>
      </w:r>
      <w:proofErr w:type="spellEnd"/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24FF" w:rsidRDefault="002E24FF" w:rsidP="00853EB2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місце оператора сидяче,  складається з інформаційного поля в якому розташований монітор ЕОМ </w:t>
      </w:r>
      <w:r w:rsidR="00230B75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13E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тенд, та моторне поле в якому розташовані пристрої вводу ЕОМ та пульт керування стенду.</w:t>
      </w:r>
    </w:p>
    <w:p w:rsidR="004F0C12" w:rsidRDefault="004F0C12" w:rsidP="004F0C12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 праці</w:t>
      </w:r>
    </w:p>
    <w:p w:rsidR="004F0C12" w:rsidRDefault="00EC1EED" w:rsidP="00230B75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EED">
        <w:rPr>
          <w:rFonts w:ascii="Times New Roman" w:hAnsi="Times New Roman" w:cs="Times New Roman"/>
          <w:sz w:val="28"/>
          <w:szCs w:val="28"/>
          <w:lang w:val="uk-UA"/>
        </w:rPr>
        <w:t>Безпосередньо на робочому місц</w:t>
      </w:r>
      <w:r w:rsidR="00230B75">
        <w:rPr>
          <w:rFonts w:ascii="Times New Roman" w:hAnsi="Times New Roman" w:cs="Times New Roman"/>
          <w:sz w:val="28"/>
          <w:szCs w:val="28"/>
          <w:lang w:val="uk-UA"/>
        </w:rPr>
        <w:t xml:space="preserve">і слід передбачати інформаційне </w:t>
      </w:r>
      <w:r w:rsidRPr="00EC1EED">
        <w:rPr>
          <w:rFonts w:ascii="Times New Roman" w:hAnsi="Times New Roman" w:cs="Times New Roman"/>
          <w:sz w:val="28"/>
          <w:szCs w:val="28"/>
          <w:lang w:val="uk-UA"/>
        </w:rPr>
        <w:t xml:space="preserve">устаткування і </w:t>
      </w:r>
      <w:r w:rsidR="00230B75">
        <w:rPr>
          <w:rFonts w:ascii="Times New Roman" w:hAnsi="Times New Roman" w:cs="Times New Roman"/>
          <w:sz w:val="28"/>
          <w:szCs w:val="28"/>
          <w:lang w:val="uk-UA"/>
        </w:rPr>
        <w:t>стенд для спостереження, повинно бути додаткове обладнання (робочий стіл, сидіння оператора).</w:t>
      </w:r>
    </w:p>
    <w:p w:rsidR="00230B75" w:rsidRDefault="00230B75" w:rsidP="00230B75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</w:t>
      </w:r>
      <w:r>
        <w:rPr>
          <w:rFonts w:ascii="Times New Roman" w:hAnsi="Times New Roman" w:cs="Times New Roman"/>
          <w:sz w:val="28"/>
          <w:szCs w:val="28"/>
          <w:lang w:val="uk-UA"/>
        </w:rPr>
        <w:t>це оператора ЕОМ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B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не менше ніж 6,0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4F0C12">
        <w:rPr>
          <w:rFonts w:ascii="Times New Roman" w:hAnsi="Times New Roman" w:cs="Times New Roman"/>
          <w:sz w:val="28"/>
          <w:szCs w:val="28"/>
          <w:lang w:val="uk-UA"/>
        </w:rPr>
        <w:t>, а об'єм - не менше ніж 20,0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F0C12">
        <w:rPr>
          <w:rFonts w:ascii="Times New Roman" w:hAnsi="Times New Roman" w:cs="Times New Roman"/>
          <w:sz w:val="28"/>
          <w:szCs w:val="28"/>
          <w:lang w:val="uk-UA"/>
        </w:rPr>
        <w:t>Природне освітлення має здійснюватись через світлові прорізи, орієнтовані переважно на північ чи північний схід, і забезпечувати коефіцієнт природної освітленості (КПО) не нижче, ніж 1,5%.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0B75" w:rsidRDefault="00230B75" w:rsidP="00230B75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Штучне освітлення в приміщеннях з робочими місцями, обладнаними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 має здійснюватись системою загального рівномірного освітлення.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Значення освітленості на поверхні робочого столу в зоні розміщення документів має становити 300-500 лк. Якщо це неможливо забезпечити системою загального освітлення, допускається використовувати місцеве освітлення. При цьому світильники місцевого освітлення слід встановлювати таким чином, щоб не створювати </w:t>
      </w:r>
      <w:proofErr w:type="spellStart"/>
      <w:r w:rsidRPr="00230B75">
        <w:rPr>
          <w:rFonts w:ascii="Times New Roman" w:hAnsi="Times New Roman" w:cs="Times New Roman"/>
          <w:sz w:val="28"/>
          <w:szCs w:val="28"/>
          <w:lang w:val="uk-UA"/>
        </w:rPr>
        <w:t>бликів</w:t>
      </w:r>
      <w:proofErr w:type="spellEnd"/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 на поверхні екрана, а освітленість екрана має не перевищувати 300 лк.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Як джерела світла для штучного освітлення мають застосовуватись переважно люмінесцентні лампи типу ЛБ. У разі 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влаштування відбитого освітлення у виробничих та адміністративно-громадських приміщеннях допускається застосування </w:t>
      </w:r>
      <w:proofErr w:type="spellStart"/>
      <w:r w:rsidRPr="00230B75">
        <w:rPr>
          <w:rFonts w:ascii="Times New Roman" w:hAnsi="Times New Roman" w:cs="Times New Roman"/>
          <w:sz w:val="28"/>
          <w:szCs w:val="28"/>
          <w:lang w:val="uk-UA"/>
        </w:rPr>
        <w:t>металогалогенних</w:t>
      </w:r>
      <w:proofErr w:type="spellEnd"/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 ламп потужністю 250 Вт. Допускається застосування ламп розжарювання у світильниках місцевого освітлення.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157F" w:rsidRDefault="0076157F" w:rsidP="00EE3332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виробничих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приміщеннях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робочих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місцях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r w:rsidR="00EE3332">
        <w:rPr>
          <w:rFonts w:ascii="Times New Roman" w:hAnsi="Times New Roman" w:cs="Times New Roman"/>
          <w:sz w:val="28"/>
          <w:szCs w:val="28"/>
          <w:lang w:val="uk-UA"/>
        </w:rPr>
        <w:t>ЕОМ</w:t>
      </w:r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забезпечуватись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оптимальні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мікроклімату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температури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відносної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вологості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рухливості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повітря</w:t>
      </w:r>
      <w:proofErr w:type="spellEnd"/>
      <w:r w:rsidR="00EE33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3332" w:rsidRPr="00EE3332">
        <w:rPr>
          <w:rFonts w:ascii="Times New Roman" w:hAnsi="Times New Roman" w:cs="Times New Roman"/>
          <w:sz w:val="28"/>
          <w:szCs w:val="28"/>
          <w:lang w:val="uk-UA"/>
        </w:rPr>
        <w:t>За загальними затратами організм</w:t>
      </w:r>
      <w:r w:rsidR="00EE3332">
        <w:rPr>
          <w:rFonts w:ascii="Times New Roman" w:hAnsi="Times New Roman" w:cs="Times New Roman"/>
          <w:sz w:val="28"/>
          <w:szCs w:val="28"/>
          <w:lang w:val="uk-UA"/>
        </w:rPr>
        <w:t xml:space="preserve">у на виконання робіт відповідно </w:t>
      </w:r>
      <w:r w:rsidR="00EE3332" w:rsidRPr="00EE3332">
        <w:rPr>
          <w:rFonts w:ascii="Times New Roman" w:hAnsi="Times New Roman" w:cs="Times New Roman"/>
          <w:sz w:val="28"/>
          <w:szCs w:val="28"/>
          <w:lang w:val="uk-UA"/>
        </w:rPr>
        <w:t xml:space="preserve">нормативу </w:t>
      </w:r>
      <w:r w:rsidR="00EE3332">
        <w:rPr>
          <w:rFonts w:ascii="Times New Roman" w:hAnsi="Times New Roman" w:cs="Times New Roman"/>
          <w:sz w:val="28"/>
          <w:szCs w:val="28"/>
          <w:lang w:val="uk-UA"/>
        </w:rPr>
        <w:t xml:space="preserve">відносяться до легкої роботи </w:t>
      </w:r>
      <w:r w:rsidR="00EE33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[2]</w:t>
      </w:r>
      <w:r w:rsidR="00617C3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="00617C30">
        <w:rPr>
          <w:rFonts w:ascii="Times New Roman" w:hAnsi="Times New Roman" w:cs="Times New Roman"/>
          <w:sz w:val="28"/>
          <w:szCs w:val="28"/>
          <w:lang w:val="uk-UA"/>
        </w:rPr>
        <w:t>1А</w:t>
      </w:r>
      <w:r w:rsidR="00EE33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3332">
        <w:rPr>
          <w:rFonts w:ascii="Times New Roman" w:hAnsi="Times New Roman" w:cs="Times New Roman"/>
          <w:sz w:val="28"/>
          <w:szCs w:val="28"/>
          <w:lang w:val="uk-UA"/>
        </w:rPr>
        <w:t>це робота, що виконується сидячи і не потребує фізичного напруження.</w:t>
      </w:r>
      <w:r w:rsidR="00617C30">
        <w:rPr>
          <w:rFonts w:ascii="Times New Roman" w:hAnsi="Times New Roman" w:cs="Times New Roman"/>
          <w:sz w:val="28"/>
          <w:szCs w:val="28"/>
          <w:lang w:val="uk-UA"/>
        </w:rPr>
        <w:t xml:space="preserve"> Для холодного періоду року оптимальні величини відносної вологості та швидкості руху повітря в робочій зоні виробничого приміщення складають: в холодну пору року - температура повітря 22-24 </w:t>
      </w:r>
      <w:proofErr w:type="spellStart"/>
      <w:r w:rsidR="00617C3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 w:rsidR="00617C3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 w:rsidR="00617C30">
        <w:rPr>
          <w:rFonts w:ascii="Times New Roman" w:hAnsi="Times New Roman" w:cs="Times New Roman"/>
          <w:sz w:val="28"/>
          <w:szCs w:val="28"/>
          <w:lang w:val="uk-UA"/>
        </w:rPr>
        <w:t xml:space="preserve">, відносна вологість 60-40 %, швидкість руху повітря 0.1 м/с, в теплий період року – 23-25 </w:t>
      </w:r>
      <w:proofErr w:type="spellStart"/>
      <w:r w:rsidR="00617C3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 w:rsidR="00617C3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 w:rsidR="00617C30">
        <w:rPr>
          <w:rFonts w:ascii="Times New Roman" w:hAnsi="Times New Roman" w:cs="Times New Roman"/>
          <w:sz w:val="28"/>
          <w:szCs w:val="28"/>
          <w:lang w:val="uk-UA"/>
        </w:rPr>
        <w:t xml:space="preserve">, 60-40%, 0.1 м/с. Температура внутрішніх поверхонь робочої зони (стіни, підлога, стеля) технологічного обладнання та зовнішніх поверхонь технологічного устаткування не повинна виходити більш ніж </w:t>
      </w:r>
      <w:proofErr w:type="spellStart"/>
      <w:r w:rsidR="00617C30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="00617C30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617C3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 w:rsidR="00617C30">
        <w:rPr>
          <w:rFonts w:ascii="Times New Roman" w:hAnsi="Times New Roman" w:cs="Times New Roman"/>
          <w:sz w:val="28"/>
          <w:szCs w:val="28"/>
          <w:lang w:val="uk-UA"/>
        </w:rPr>
        <w:t>С за межі оптимальних температур повітря.</w:t>
      </w:r>
    </w:p>
    <w:p w:rsidR="005C284D" w:rsidRDefault="005C284D" w:rsidP="005C284D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шкідливих, небезпечних чинників</w:t>
      </w:r>
    </w:p>
    <w:p w:rsidR="005C284D" w:rsidRDefault="005C284D" w:rsidP="00691F9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284D">
        <w:rPr>
          <w:rFonts w:ascii="Times New Roman" w:hAnsi="Times New Roman" w:cs="Times New Roman"/>
          <w:sz w:val="28"/>
          <w:szCs w:val="28"/>
          <w:lang w:val="uk-UA"/>
        </w:rPr>
        <w:t>При виконанні робіт операторсь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кого типу, пов’язаних з нервово 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емоційним напруженням в кабінетах, пультах і постах керуванн</w:t>
      </w:r>
      <w:r w:rsidR="00691F9D">
        <w:rPr>
          <w:rFonts w:ascii="Times New Roman" w:hAnsi="Times New Roman" w:cs="Times New Roman"/>
          <w:sz w:val="28"/>
          <w:szCs w:val="28"/>
          <w:lang w:val="uk-UA"/>
        </w:rPr>
        <w:t>я тех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нологічними процесами, в кімнат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ах з обчислювальної технікою та інших 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приміщеннях повинні дотрим</w:t>
      </w:r>
      <w:r w:rsidR="00691F9D">
        <w:rPr>
          <w:rFonts w:ascii="Times New Roman" w:hAnsi="Times New Roman" w:cs="Times New Roman"/>
          <w:sz w:val="28"/>
          <w:szCs w:val="28"/>
          <w:lang w:val="uk-UA"/>
        </w:rPr>
        <w:t>уватися оптимальні умови мікро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клімату.</w:t>
      </w:r>
      <w:r w:rsidR="00691F9D">
        <w:rPr>
          <w:rFonts w:ascii="Times New Roman" w:hAnsi="Times New Roman" w:cs="Times New Roman"/>
          <w:sz w:val="28"/>
          <w:szCs w:val="28"/>
          <w:lang w:val="uk-UA"/>
        </w:rPr>
        <w:t xml:space="preserve"> Ці умови не повинні перевищувати допустимі величини.</w:t>
      </w:r>
    </w:p>
    <w:p w:rsidR="00691F9D" w:rsidRDefault="00691F9D" w:rsidP="00691F9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категорією роботи 1А допустимі величини температури, відносної вологості та швидкості руху повітря на постійних робочих місцях становлять:</w:t>
      </w:r>
      <w:r w:rsidRPr="00691F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холодну пору року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температура повітря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(верхня межа 25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uk-UA"/>
        </w:rPr>
        <w:t>нижня 21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відносна вологість </w:t>
      </w:r>
      <w:r>
        <w:rPr>
          <w:rFonts w:ascii="Times New Roman" w:hAnsi="Times New Roman" w:cs="Times New Roman"/>
          <w:sz w:val="28"/>
          <w:szCs w:val="28"/>
          <w:lang w:val="uk-UA"/>
        </w:rPr>
        <w:t>75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%, швидкість руху повітря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більше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0.1 м/с, в теплий період року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(верхня межа 28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нижня 22</w:t>
      </w:r>
      <w:r w:rsidRPr="00691F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55% при температурі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28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0.2 – 0.1 м/с.</w:t>
      </w:r>
    </w:p>
    <w:p w:rsidR="00094571" w:rsidRDefault="00094571" w:rsidP="00094571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94571">
        <w:rPr>
          <w:rFonts w:ascii="Times New Roman" w:hAnsi="Times New Roman" w:cs="Times New Roman"/>
          <w:sz w:val="28"/>
          <w:szCs w:val="28"/>
        </w:rPr>
        <w:t xml:space="preserve">Шум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шкідливо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відбивається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здоров'ї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людей.</w:t>
      </w:r>
      <w:proofErr w:type="gramEnd"/>
      <w:r w:rsidRPr="00094571">
        <w:rPr>
          <w:rFonts w:ascii="Times New Roman" w:hAnsi="Times New Roman" w:cs="Times New Roman"/>
          <w:sz w:val="28"/>
          <w:szCs w:val="28"/>
        </w:rPr>
        <w:t xml:space="preserve"> Шум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погіршує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lastRenderedPageBreak/>
        <w:t>сприйняття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стеження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збі</w:t>
      </w:r>
      <w:proofErr w:type="gramStart"/>
      <w:r w:rsidRPr="0009457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інфо-рмації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брак в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нещасних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Тому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допустим</w:t>
      </w:r>
      <w:r>
        <w:rPr>
          <w:rFonts w:ascii="Times New Roman" w:hAnsi="Times New Roman" w:cs="Times New Roman"/>
          <w:sz w:val="28"/>
          <w:szCs w:val="28"/>
          <w:lang w:val="uk-UA"/>
        </w:rPr>
        <w:t>і рівні звукового тиску представлене у Таблиці 4.1.</w:t>
      </w:r>
    </w:p>
    <w:p w:rsidR="00094571" w:rsidRPr="00094571" w:rsidRDefault="00094571" w:rsidP="00094571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4</w:t>
      </w:r>
      <w:r w:rsidRPr="00094571">
        <w:rPr>
          <w:rFonts w:ascii="Times New Roman" w:hAnsi="Times New Roman" w:cs="Times New Roman"/>
          <w:sz w:val="24"/>
          <w:szCs w:val="24"/>
          <w:lang w:val="uk-UA"/>
        </w:rPr>
        <w:t>.1. Допустимі рівні звукового тиску, рівні звуку і еквівалентні рівні звуку на робочих місцях у виробничих приміщеннях і на території підприємств</w:t>
      </w:r>
    </w:p>
    <w:tbl>
      <w:tblPr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3402"/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1028"/>
      </w:tblGrid>
      <w:tr w:rsidR="00094571" w:rsidRPr="00F61A1B" w:rsidTr="000945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" w:type="dxa"/>
            <w:vMerge w:val="restart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№ з/п</w:t>
            </w:r>
          </w:p>
        </w:tc>
        <w:tc>
          <w:tcPr>
            <w:tcW w:w="3402" w:type="dxa"/>
            <w:vMerge w:val="restart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Вид трудової діяльності</w:t>
            </w:r>
          </w:p>
        </w:tc>
        <w:tc>
          <w:tcPr>
            <w:tcW w:w="5244" w:type="dxa"/>
            <w:gridSpan w:val="9"/>
            <w:vAlign w:val="center"/>
          </w:tcPr>
          <w:p w:rsidR="00094571" w:rsidRPr="00F61A1B" w:rsidRDefault="00094571" w:rsidP="009D010F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proofErr w:type="gramStart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івні</w:t>
            </w:r>
            <w:proofErr w:type="spellEnd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 xml:space="preserve"> звукового </w:t>
            </w:r>
            <w:proofErr w:type="spellStart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тиску</w:t>
            </w:r>
            <w:proofErr w:type="spellEnd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 xml:space="preserve">, дБ, в </w:t>
            </w:r>
            <w:proofErr w:type="spellStart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октавних</w:t>
            </w:r>
            <w:proofErr w:type="spellEnd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смугах</w:t>
            </w:r>
            <w:proofErr w:type="spellEnd"/>
          </w:p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 xml:space="preserve">з </w:t>
            </w:r>
            <w:proofErr w:type="spellStart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с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е</w:t>
            </w:r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>редньогеометричними</w:t>
            </w:r>
            <w:proofErr w:type="spellEnd"/>
            <w:r w:rsidRPr="00F61A1B">
              <w:rPr>
                <w:rFonts w:ascii="Times New Roman CYR" w:hAnsi="Times New Roman CYR" w:cs="Times New Roman CYR"/>
                <w:sz w:val="24"/>
                <w:szCs w:val="24"/>
              </w:rPr>
              <w:t xml:space="preserve"> частотами</w:t>
            </w:r>
            <w:r w:rsidRPr="00F61A1B">
              <w:rPr>
                <w:sz w:val="24"/>
              </w:rPr>
              <w:t xml:space="preserve">, </w:t>
            </w:r>
            <w:proofErr w:type="gramStart"/>
            <w:r w:rsidRPr="00F61A1B">
              <w:rPr>
                <w:sz w:val="24"/>
              </w:rPr>
              <w:t>Гц</w:t>
            </w:r>
            <w:proofErr w:type="gramEnd"/>
            <w:r w:rsidRPr="00F61A1B">
              <w:rPr>
                <w:sz w:val="24"/>
              </w:rPr>
              <w:t>.</w:t>
            </w:r>
          </w:p>
        </w:tc>
        <w:tc>
          <w:tcPr>
            <w:tcW w:w="1028" w:type="dxa"/>
            <w:vMerge w:val="restart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рівні звуку і </w:t>
            </w:r>
            <w:proofErr w:type="spellStart"/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еквіва-лентні</w:t>
            </w:r>
            <w:proofErr w:type="spellEnd"/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рівні звуку</w:t>
            </w:r>
            <w:r w:rsidRPr="00F61A1B">
              <w:rPr>
                <w:snapToGrid w:val="0"/>
                <w:sz w:val="24"/>
                <w:lang w:val="uk-UA"/>
              </w:rPr>
              <w:t>,</w:t>
            </w:r>
          </w:p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proofErr w:type="spellStart"/>
            <w:r w:rsidRPr="00F61A1B">
              <w:rPr>
                <w:snapToGrid w:val="0"/>
                <w:sz w:val="24"/>
                <w:lang w:val="uk-UA"/>
              </w:rPr>
              <w:t>дБА</w:t>
            </w:r>
            <w:proofErr w:type="spellEnd"/>
            <w:r w:rsidRPr="00F61A1B">
              <w:rPr>
                <w:snapToGrid w:val="0"/>
                <w:sz w:val="24"/>
                <w:lang w:val="uk-UA"/>
              </w:rPr>
              <w:t xml:space="preserve">, </w:t>
            </w:r>
            <w:proofErr w:type="spellStart"/>
            <w:r w:rsidRPr="00F61A1B">
              <w:rPr>
                <w:snapToGrid w:val="0"/>
                <w:sz w:val="24"/>
                <w:lang w:val="uk-UA"/>
              </w:rPr>
              <w:t>дБА</w:t>
            </w:r>
            <w:r w:rsidRPr="00F61A1B">
              <w:rPr>
                <w:snapToGrid w:val="0"/>
                <w:sz w:val="24"/>
                <w:vertAlign w:val="subscript"/>
                <w:lang w:val="uk-UA"/>
              </w:rPr>
              <w:t>екв</w:t>
            </w:r>
            <w:proofErr w:type="spellEnd"/>
          </w:p>
        </w:tc>
      </w:tr>
      <w:tr w:rsidR="00094571" w:rsidRPr="00F61A1B" w:rsidTr="000945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" w:type="dxa"/>
            <w:vMerge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</w:p>
        </w:tc>
        <w:tc>
          <w:tcPr>
            <w:tcW w:w="3402" w:type="dxa"/>
            <w:vMerge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both"/>
              <w:rPr>
                <w:snapToGrid w:val="0"/>
                <w:sz w:val="24"/>
                <w:lang w:val="uk-UA"/>
              </w:rPr>
            </w:pP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31,5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63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125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250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500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1000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2000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4000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jc w:val="center"/>
              <w:rPr>
                <w:sz w:val="24"/>
              </w:rPr>
            </w:pPr>
            <w:r w:rsidRPr="00F61A1B">
              <w:rPr>
                <w:sz w:val="24"/>
              </w:rPr>
              <w:t>8000</w:t>
            </w:r>
          </w:p>
        </w:tc>
        <w:tc>
          <w:tcPr>
            <w:tcW w:w="1028" w:type="dxa"/>
            <w:vMerge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both"/>
              <w:rPr>
                <w:snapToGrid w:val="0"/>
                <w:sz w:val="24"/>
                <w:lang w:val="uk-UA"/>
              </w:rPr>
            </w:pPr>
          </w:p>
        </w:tc>
      </w:tr>
      <w:tr w:rsidR="00094571" w:rsidRPr="00F61A1B" w:rsidTr="00094571">
        <w:tblPrEx>
          <w:tblCellMar>
            <w:top w:w="0" w:type="dxa"/>
            <w:bottom w:w="0" w:type="dxa"/>
          </w:tblCellMar>
        </w:tblPrEx>
        <w:tc>
          <w:tcPr>
            <w:tcW w:w="454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1</w:t>
            </w:r>
          </w:p>
        </w:tc>
        <w:tc>
          <w:tcPr>
            <w:tcW w:w="340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6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2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3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4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5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6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7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8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9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10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11</w:t>
            </w:r>
          </w:p>
        </w:tc>
        <w:tc>
          <w:tcPr>
            <w:tcW w:w="1028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12</w:t>
            </w:r>
          </w:p>
        </w:tc>
      </w:tr>
      <w:tr w:rsidR="00094571" w:rsidRPr="00F61A1B" w:rsidTr="00094571">
        <w:tblPrEx>
          <w:tblCellMar>
            <w:top w:w="0" w:type="dxa"/>
            <w:bottom w:w="0" w:type="dxa"/>
          </w:tblCellMar>
        </w:tblPrEx>
        <w:tc>
          <w:tcPr>
            <w:tcW w:w="454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>
              <w:rPr>
                <w:snapToGrid w:val="0"/>
                <w:sz w:val="24"/>
                <w:lang w:val="uk-UA"/>
              </w:rPr>
              <w:t>1</w:t>
            </w:r>
          </w:p>
        </w:tc>
        <w:tc>
          <w:tcPr>
            <w:tcW w:w="340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6" w:firstLine="284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Висококваліфікована робота, адміністративно-керівна діял</w:t>
            </w:r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ь</w:t>
            </w:r>
            <w:r w:rsidRPr="00F61A1B"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ність, вимірювальні і аналітичні роботи в лабораторії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93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79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70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63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58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55</w:t>
            </w:r>
          </w:p>
        </w:tc>
        <w:tc>
          <w:tcPr>
            <w:tcW w:w="582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52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50</w:t>
            </w:r>
          </w:p>
        </w:tc>
        <w:tc>
          <w:tcPr>
            <w:tcW w:w="583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49</w:t>
            </w:r>
          </w:p>
        </w:tc>
        <w:tc>
          <w:tcPr>
            <w:tcW w:w="1028" w:type="dxa"/>
            <w:vAlign w:val="center"/>
          </w:tcPr>
          <w:p w:rsidR="00094571" w:rsidRPr="00F61A1B" w:rsidRDefault="00094571" w:rsidP="009D010F">
            <w:pPr>
              <w:pStyle w:val="Normal"/>
              <w:widowControl w:val="0"/>
              <w:ind w:right="-7"/>
              <w:jc w:val="center"/>
              <w:rPr>
                <w:snapToGrid w:val="0"/>
                <w:sz w:val="24"/>
                <w:lang w:val="uk-UA"/>
              </w:rPr>
            </w:pPr>
            <w:r w:rsidRPr="00F61A1B">
              <w:rPr>
                <w:snapToGrid w:val="0"/>
                <w:sz w:val="24"/>
                <w:lang w:val="uk-UA"/>
              </w:rPr>
              <w:t>60</w:t>
            </w:r>
          </w:p>
        </w:tc>
      </w:tr>
    </w:tbl>
    <w:p w:rsidR="00094571" w:rsidRDefault="00094571" w:rsidP="00094571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4571" w:rsidRDefault="00094571" w:rsidP="0015710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571">
        <w:rPr>
          <w:rFonts w:ascii="Times New Roman" w:hAnsi="Times New Roman" w:cs="Times New Roman"/>
          <w:sz w:val="28"/>
          <w:szCs w:val="28"/>
          <w:lang w:val="uk-UA"/>
        </w:rPr>
        <w:t>Приміщення,  де розміщені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 xml:space="preserve"> робочі місця операторів, крім  </w:t>
      </w:r>
      <w:r w:rsidRPr="00094571">
        <w:rPr>
          <w:rFonts w:ascii="Times New Roman" w:hAnsi="Times New Roman" w:cs="Times New Roman"/>
          <w:sz w:val="28"/>
          <w:szCs w:val="28"/>
          <w:lang w:val="uk-UA"/>
        </w:rPr>
        <w:t>приміщень,  у  яких  розміщені робоч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 xml:space="preserve">і місця операторів великих ЕОМ  </w:t>
      </w:r>
      <w:r w:rsidRPr="00094571">
        <w:rPr>
          <w:rFonts w:ascii="Times New Roman" w:hAnsi="Times New Roman" w:cs="Times New Roman"/>
          <w:sz w:val="28"/>
          <w:szCs w:val="28"/>
          <w:lang w:val="uk-UA"/>
        </w:rPr>
        <w:t>зага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>льного   призначення</w:t>
      </w:r>
      <w:r w:rsidR="00DD7F4D">
        <w:rPr>
          <w:rFonts w:ascii="Times New Roman" w:hAnsi="Times New Roman" w:cs="Times New Roman"/>
          <w:sz w:val="28"/>
          <w:szCs w:val="28"/>
          <w:lang w:val="uk-UA"/>
        </w:rPr>
        <w:t xml:space="preserve"> категорії Д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 xml:space="preserve">,    мають    бути    оснащені </w:t>
      </w:r>
      <w:r w:rsidRPr="00094571">
        <w:rPr>
          <w:rFonts w:ascii="Times New Roman" w:hAnsi="Times New Roman" w:cs="Times New Roman"/>
          <w:sz w:val="28"/>
          <w:szCs w:val="28"/>
          <w:lang w:val="uk-UA"/>
        </w:rPr>
        <w:t>вогнегасниками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>, для приміщень до 25 м</w:t>
      </w:r>
      <w:r w:rsidR="001571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15710D">
        <w:rPr>
          <w:rFonts w:ascii="Times New Roman" w:hAnsi="Times New Roman" w:cs="Times New Roman"/>
          <w:sz w:val="28"/>
          <w:szCs w:val="28"/>
          <w:lang w:val="uk-UA"/>
        </w:rPr>
        <w:t xml:space="preserve"> с класом можливої пожежі </w:t>
      </w:r>
      <w:r w:rsidR="0015710D">
        <w:rPr>
          <w:rFonts w:ascii="Times New Roman" w:hAnsi="Times New Roman" w:cs="Times New Roman"/>
          <w:sz w:val="28"/>
          <w:szCs w:val="28"/>
          <w:lang w:val="en-US"/>
        </w:rPr>
        <w:t>A, E</w:t>
      </w:r>
      <w:r w:rsidR="00DD7F4D">
        <w:rPr>
          <w:rFonts w:ascii="Times New Roman" w:hAnsi="Times New Roman" w:cs="Times New Roman"/>
          <w:sz w:val="28"/>
          <w:szCs w:val="28"/>
          <w:lang w:val="uk-UA"/>
        </w:rPr>
        <w:t xml:space="preserve">, вогнегасником порошковими та </w:t>
      </w:r>
      <w:proofErr w:type="spellStart"/>
      <w:r w:rsidR="00DD7F4D">
        <w:rPr>
          <w:rFonts w:ascii="Times New Roman" w:hAnsi="Times New Roman" w:cs="Times New Roman"/>
          <w:sz w:val="28"/>
          <w:szCs w:val="28"/>
          <w:lang w:val="uk-UA"/>
        </w:rPr>
        <w:t>водопіннми</w:t>
      </w:r>
      <w:proofErr w:type="spellEnd"/>
      <w:r w:rsidR="00DD7F4D">
        <w:rPr>
          <w:rFonts w:ascii="Times New Roman" w:hAnsi="Times New Roman" w:cs="Times New Roman"/>
          <w:sz w:val="28"/>
          <w:szCs w:val="28"/>
          <w:lang w:val="uk-UA"/>
        </w:rPr>
        <w:t xml:space="preserve"> аерозольними.</w:t>
      </w:r>
    </w:p>
    <w:p w:rsidR="00BD4216" w:rsidRPr="00BD4216" w:rsidRDefault="00BD4216" w:rsidP="00BD4216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216">
        <w:rPr>
          <w:rFonts w:ascii="Times New Roman" w:hAnsi="Times New Roman" w:cs="Times New Roman"/>
          <w:sz w:val="28"/>
          <w:szCs w:val="28"/>
          <w:lang w:val="uk-UA"/>
        </w:rPr>
        <w:t>Електробезпека – це система організаційних та технічни</w:t>
      </w:r>
      <w:r>
        <w:rPr>
          <w:rFonts w:ascii="Times New Roman" w:hAnsi="Times New Roman" w:cs="Times New Roman"/>
          <w:sz w:val="28"/>
          <w:szCs w:val="28"/>
          <w:lang w:val="uk-UA"/>
        </w:rPr>
        <w:t>х заходів і засобів, що забезпе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чують захист людей від шкідливого та небезпечного вплив</w:t>
      </w:r>
      <w:r>
        <w:rPr>
          <w:rFonts w:ascii="Times New Roman" w:hAnsi="Times New Roman" w:cs="Times New Roman"/>
          <w:sz w:val="28"/>
          <w:szCs w:val="28"/>
          <w:lang w:val="uk-UA"/>
        </w:rPr>
        <w:t>у електричного струму, електрич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ної дуги, електромагнітного поля і статичної електрики.</w:t>
      </w:r>
    </w:p>
    <w:p w:rsidR="00BD4216" w:rsidRDefault="00BD4216" w:rsidP="00BD4216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випадків </w:t>
      </w:r>
      <w:proofErr w:type="spellStart"/>
      <w:r w:rsidRPr="00BD4216">
        <w:rPr>
          <w:rFonts w:ascii="Times New Roman" w:hAnsi="Times New Roman" w:cs="Times New Roman"/>
          <w:sz w:val="28"/>
          <w:szCs w:val="28"/>
          <w:lang w:val="uk-UA"/>
        </w:rPr>
        <w:t>електротравматизму</w:t>
      </w:r>
      <w:proofErr w:type="spellEnd"/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uk-UA"/>
        </w:rPr>
        <w:t>тому числі із смертельними випа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дками, стається при експлуатації електроустановок напруго</w:t>
      </w:r>
      <w:r>
        <w:rPr>
          <w:rFonts w:ascii="Times New Roman" w:hAnsi="Times New Roman" w:cs="Times New Roman"/>
          <w:sz w:val="28"/>
          <w:szCs w:val="28"/>
          <w:lang w:val="uk-UA"/>
        </w:rPr>
        <w:t>ю до 1000 В, що пов’язано їх по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ширенням і відносною доступністю практично для кожн</w:t>
      </w:r>
      <w:r>
        <w:rPr>
          <w:rFonts w:ascii="Times New Roman" w:hAnsi="Times New Roman" w:cs="Times New Roman"/>
          <w:sz w:val="28"/>
          <w:szCs w:val="28"/>
          <w:lang w:val="uk-UA"/>
        </w:rPr>
        <w:t>ого, хто працює на виробництві.</w:t>
      </w:r>
    </w:p>
    <w:p w:rsidR="00BD4216" w:rsidRDefault="00BD4216" w:rsidP="0067292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причинами </w:t>
      </w:r>
      <w:proofErr w:type="spellStart"/>
      <w:r w:rsidRPr="00BD4216">
        <w:rPr>
          <w:rFonts w:ascii="Times New Roman" w:hAnsi="Times New Roman" w:cs="Times New Roman"/>
          <w:sz w:val="28"/>
          <w:szCs w:val="28"/>
          <w:lang w:val="uk-UA"/>
        </w:rPr>
        <w:t>елект</w:t>
      </w:r>
      <w:r>
        <w:rPr>
          <w:rFonts w:ascii="Times New Roman" w:hAnsi="Times New Roman" w:cs="Times New Roman"/>
          <w:sz w:val="28"/>
          <w:szCs w:val="28"/>
          <w:lang w:val="uk-UA"/>
        </w:rPr>
        <w:t>ротравматизму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виробництві є: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випадкове доторкання до неізольованих струмо</w:t>
      </w:r>
      <w:r>
        <w:rPr>
          <w:rFonts w:ascii="Times New Roman" w:hAnsi="Times New Roman" w:cs="Times New Roman"/>
          <w:sz w:val="28"/>
          <w:szCs w:val="28"/>
          <w:lang w:val="uk-UA"/>
        </w:rPr>
        <w:t>провідних частин електроустатку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вання;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використання несправних ручних електроінструментів;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нестандартних або несправних переносних світильників напругою 220 чи 127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lastRenderedPageBreak/>
        <w:t>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робота без надійних захисних засо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бів та запобіжних пристосувань;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доторкання до незаземлених корпусів електроус</w:t>
      </w:r>
      <w:r>
        <w:rPr>
          <w:rFonts w:ascii="Times New Roman" w:hAnsi="Times New Roman" w:cs="Times New Roman"/>
          <w:sz w:val="28"/>
          <w:szCs w:val="28"/>
          <w:lang w:val="uk-UA"/>
        </w:rPr>
        <w:t>таткування, що опинилися під на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пругою внаслідок пошкодження ізоляції;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недотримання правил улаштування, технічної експл</w:t>
      </w:r>
      <w:r>
        <w:rPr>
          <w:rFonts w:ascii="Times New Roman" w:hAnsi="Times New Roman" w:cs="Times New Roman"/>
          <w:sz w:val="28"/>
          <w:szCs w:val="28"/>
          <w:lang w:val="uk-UA"/>
        </w:rPr>
        <w:t>уатації та правил техніки безпе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ки при екс</w:t>
      </w:r>
      <w:r>
        <w:rPr>
          <w:rFonts w:ascii="Times New Roman" w:hAnsi="Times New Roman" w:cs="Times New Roman"/>
          <w:sz w:val="28"/>
          <w:szCs w:val="28"/>
          <w:lang w:val="uk-UA"/>
        </w:rPr>
        <w:t>плуатації електроустановок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27B9" w:rsidRDefault="00AC27B9" w:rsidP="0067292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ступенем небезпеки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 відноситься до приміщення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підвищенної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небезпеки.</w:t>
      </w:r>
    </w:p>
    <w:p w:rsidR="00BE473D" w:rsidRDefault="00BE473D" w:rsidP="00BE473D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Засоби і заходи з охорони праці</w:t>
      </w:r>
    </w:p>
    <w:p w:rsidR="005D3D4A" w:rsidRPr="005D3D4A" w:rsidRDefault="005D3D4A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захисту і досягнення нормованих рівнів комп'ютерних випромінювань необхідно застосування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приекранних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фільтрів, локальних світлофільтрів (засобів індивідуального захисту очей) та інших засобів захисту, що пройшли випробування в акредитованих лабораторіях і мають щ</w:t>
      </w:r>
      <w:r>
        <w:rPr>
          <w:rFonts w:ascii="Times New Roman" w:hAnsi="Times New Roman" w:cs="Times New Roman"/>
          <w:sz w:val="28"/>
          <w:szCs w:val="28"/>
          <w:lang w:val="uk-UA"/>
        </w:rPr>
        <w:t>орічний гігієнічний сертифікат.</w:t>
      </w:r>
    </w:p>
    <w:p w:rsidR="00672927" w:rsidRDefault="00672927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В окремих випадках - при хронічних скаргах працюючих з ЕОМ і на зорове </w:t>
      </w:r>
      <w:proofErr w:type="spellStart"/>
      <w:r w:rsidRPr="00672927">
        <w:rPr>
          <w:rFonts w:ascii="Times New Roman" w:hAnsi="Times New Roman" w:cs="Times New Roman"/>
          <w:sz w:val="28"/>
          <w:szCs w:val="28"/>
          <w:lang w:val="uk-UA"/>
        </w:rPr>
        <w:t>втомлення</w:t>
      </w:r>
      <w:proofErr w:type="spellEnd"/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дотримання санітарно-гігієнічних вимог до режимів праці і відпочинку, а також застосування засобів локального захисту очей - допускаються індивідуальних підхід до обмеження часу робіт з ЕОМ, зміни </w:t>
      </w:r>
      <w:proofErr w:type="spellStart"/>
      <w:r w:rsidRPr="00672927">
        <w:rPr>
          <w:rFonts w:ascii="Times New Roman" w:hAnsi="Times New Roman" w:cs="Times New Roman"/>
          <w:sz w:val="28"/>
          <w:szCs w:val="28"/>
          <w:lang w:val="uk-UA"/>
        </w:rPr>
        <w:t>характера</w:t>
      </w:r>
      <w:proofErr w:type="spellEnd"/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праці, чергування з іншими видами діяльності, не пов'язаними з ЕОМ.</w:t>
      </w:r>
    </w:p>
    <w:p w:rsidR="005D3D4A" w:rsidRPr="00672927" w:rsidRDefault="005D3D4A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допустимих рівнів шуму на робочих місцях слід застосовувати засоби звукопоглинання, вибір яких має </w:t>
      </w:r>
      <w:proofErr w:type="spellStart"/>
      <w:r w:rsidRPr="00672927">
        <w:rPr>
          <w:rFonts w:ascii="Times New Roman" w:hAnsi="Times New Roman" w:cs="Times New Roman"/>
          <w:sz w:val="28"/>
          <w:szCs w:val="28"/>
          <w:lang w:val="uk-UA"/>
        </w:rPr>
        <w:t>обгрунтовуватись</w:t>
      </w:r>
      <w:proofErr w:type="spellEnd"/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спеціальними інженерно-акустичними розрахунками.</w:t>
      </w:r>
    </w:p>
    <w:p w:rsidR="005D3D4A" w:rsidRPr="005D3D4A" w:rsidRDefault="005D3D4A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До основних будівельно-акустичних заходів щодо зниження шуму в цехах відносяться вибір і установка найменш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шумлячого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устаткування; пристрій </w:t>
      </w:r>
      <w:r>
        <w:rPr>
          <w:rFonts w:ascii="Times New Roman" w:hAnsi="Times New Roman" w:cs="Times New Roman"/>
          <w:sz w:val="28"/>
          <w:szCs w:val="28"/>
          <w:lang w:val="uk-UA"/>
        </w:rPr>
        <w:t>кожухів, глушників, екранів; ра</w:t>
      </w: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ціональне планування території підприємства, при якій об'єкти, що вимагають захисту від шуму (лабораторні корпуси, обчислювальні центри і т. п.), максимально віддалені від шумних відкритих установок і приміщень; раціональне поверхове планування будівель і розміщення шумного устаткування в будівлі; улаштування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віброізольованих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фундаментів і амортизаторів під устаткування для запобігання передачі вібрацій на будівельні конструкції. Ці заходи включають також пристрій </w:t>
      </w:r>
      <w:r w:rsidRPr="005D3D4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глушників шуму на вихлопі і всмоктуванні технологічного устаткування, а також глушення шуму вентиляційних установок; застосування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віброізолюючих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покриттів для віброізоляції повітряних каналів; монтаж звукоізольованих кабін спостереження, управління і т. п.; застосування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відокремлювачів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>, екранів для захисту робочих місць від шуму, а також для відокремлення найбільш шумних машин і установок в цеху.</w:t>
      </w:r>
    </w:p>
    <w:p w:rsidR="005D3D4A" w:rsidRPr="005D3D4A" w:rsidRDefault="005D3D4A" w:rsidP="005D3D4A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Шум знижують також облицюванням звукопоглинальними матеріалами стелі і стенів, установкою штучних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звукопоглиначів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; підбором звукоізолюючих огорож, перекриттів, дверей і вікон; відділенням менш шумних ділянок і конторських приміщень стінками і перегородками, що мають достатню звукоізоляцію; розміщенням верстатів, стендів і іншого устаткування з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мо-жливо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меншою щільністю (відстань між верстатами не менше 1,5 м), що дозволяє застосовувати додаткові засоби для зниження шуму - екрани або </w:t>
      </w:r>
      <w:proofErr w:type="spellStart"/>
      <w:r w:rsidRPr="005D3D4A">
        <w:rPr>
          <w:rFonts w:ascii="Times New Roman" w:hAnsi="Times New Roman" w:cs="Times New Roman"/>
          <w:sz w:val="28"/>
          <w:szCs w:val="28"/>
          <w:lang w:val="uk-UA"/>
        </w:rPr>
        <w:t>відокремлювачі</w:t>
      </w:r>
      <w:proofErr w:type="spellEnd"/>
      <w:r w:rsidRPr="005D3D4A">
        <w:rPr>
          <w:rFonts w:ascii="Times New Roman" w:hAnsi="Times New Roman" w:cs="Times New Roman"/>
          <w:sz w:val="28"/>
          <w:szCs w:val="28"/>
          <w:lang w:val="uk-UA"/>
        </w:rPr>
        <w:t>; об'єднання, по можливості, верстатів в групи по ступеню шумності з повним або частковим відділенням найбільш шумної групи від решти устаткування.</w:t>
      </w:r>
    </w:p>
    <w:p w:rsidR="005D3D4A" w:rsidRPr="005D3D4A" w:rsidRDefault="005D3D4A" w:rsidP="005D3D4A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форми і об'єму приміщення слід віддавати перевагу витягнутій формі </w:t>
      </w:r>
      <w:r>
        <w:rPr>
          <w:rFonts w:ascii="Times New Roman" w:hAnsi="Times New Roman" w:cs="Times New Roman"/>
          <w:sz w:val="28"/>
          <w:szCs w:val="28"/>
          <w:lang w:val="uk-UA"/>
        </w:rPr>
        <w:t>і плос</w:t>
      </w:r>
      <w:r w:rsidRPr="005D3D4A">
        <w:rPr>
          <w:rFonts w:ascii="Times New Roman" w:hAnsi="Times New Roman" w:cs="Times New Roman"/>
          <w:sz w:val="28"/>
          <w:szCs w:val="28"/>
          <w:lang w:val="uk-UA"/>
        </w:rPr>
        <w:t>кій звукопоглинальній стелі з мінімально необхідною висотою.</w:t>
      </w:r>
    </w:p>
    <w:p w:rsidR="00672927" w:rsidRDefault="005D3D4A" w:rsidP="005D3D4A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>До акустичних засобів захисту від шуму відносять також демпфування, звукоізоляцію і звукопоглинання.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До роботи на електроустановках допускаються особи не молодші 18 років, які пройшли інструктаж та навчання з безпечних методів праці, перевірку знань правил безпеки та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інстру-кцій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займаної посади та кваліфікаційної групи з електробезпеки, і які не мають проти показів, визначених Міністерством охорони здоров’я України.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безпеки робіт у діючих електроустановках належить виконувати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на-ступні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організаційні заходи: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осіб, які відповідають за організацію та проведення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оформлення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наряду чи розпорядження на проведення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організація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нагляду за проведенням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оформлення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закінчення робіт, перерв у роботі, переведення на інші робочі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міс-ця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До технічних заходів, які необхідно виконувати в діючих електроустановках для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забез-печення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безпеки робіт належать: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>1. при проведенні робіт зі зняттям напруги в діючих електроустановках чи поблизу них: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вимкнення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установки (частини установки) в</w:t>
      </w:r>
      <w:r>
        <w:rPr>
          <w:rFonts w:ascii="Times New Roman" w:hAnsi="Times New Roman" w:cs="Times New Roman"/>
          <w:sz w:val="28"/>
          <w:szCs w:val="28"/>
          <w:lang w:val="uk-UA"/>
        </w:rPr>
        <w:t>ід джерела живлення електроенер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гії;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механічне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 приводів апаратів, які здійснюють вимкнення, зняття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за-побіжників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>, від’єднання кінців лінії, яка здійснює електропостачання та інші заходи, що унеможливлюють випадкову подачу напруги до місця проведення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знаків безпеки та захисних огорож біля струмопровідних частин, що залишаються під напругою і до яких в процесів роботи можливе доторкання або </w:t>
      </w:r>
      <w:proofErr w:type="spellStart"/>
      <w:r w:rsidRPr="004333B2">
        <w:rPr>
          <w:rFonts w:ascii="Times New Roman" w:hAnsi="Times New Roman" w:cs="Times New Roman"/>
          <w:sz w:val="28"/>
          <w:szCs w:val="28"/>
          <w:lang w:val="uk-UA"/>
        </w:rPr>
        <w:t>на-ближення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на недопустиму відстань;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заземлення (ввімкнення заземлювальних ножів чи встановлення переносних заземлень);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огородження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робочого місця та вивішування плакатів безпеки;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>2. при проведенні робіт на струмопровідних частинах, які знаходяться під напругою та поблизу них:</w:t>
      </w:r>
    </w:p>
    <w:p w:rsidR="004333B2" w:rsidRDefault="003D4EB9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bookmarkStart w:id="0" w:name="_GoBack"/>
      <w:bookmarkEnd w:id="0"/>
      <w:r w:rsidR="004333B2"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робіт за нарядом не менш ніж двома працівниками зі застосуванням </w:t>
      </w:r>
      <w:proofErr w:type="spellStart"/>
      <w:r w:rsidR="004333B2" w:rsidRPr="004333B2">
        <w:rPr>
          <w:rFonts w:ascii="Times New Roman" w:hAnsi="Times New Roman" w:cs="Times New Roman"/>
          <w:sz w:val="28"/>
          <w:szCs w:val="28"/>
          <w:lang w:val="uk-UA"/>
        </w:rPr>
        <w:t>електрозахисних</w:t>
      </w:r>
      <w:proofErr w:type="spellEnd"/>
      <w:r w:rsidR="004333B2"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засобів, під постійним наглядом, із забезпеченням безпечного </w:t>
      </w:r>
      <w:proofErr w:type="spellStart"/>
      <w:r w:rsidR="004333B2" w:rsidRPr="004333B2">
        <w:rPr>
          <w:rFonts w:ascii="Times New Roman" w:hAnsi="Times New Roman" w:cs="Times New Roman"/>
          <w:sz w:val="28"/>
          <w:szCs w:val="28"/>
          <w:lang w:val="uk-UA"/>
        </w:rPr>
        <w:t>розта-шування</w:t>
      </w:r>
      <w:proofErr w:type="spellEnd"/>
      <w:r w:rsidR="004333B2"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працівників, використовуваних механізмів та пристосувань.</w:t>
      </w:r>
    </w:p>
    <w:p w:rsidR="004333B2" w:rsidRPr="00672927" w:rsidRDefault="004333B2" w:rsidP="005D3D4A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C12" w:rsidRDefault="004F0C12" w:rsidP="00672927">
      <w:pPr>
        <w:tabs>
          <w:tab w:val="left" w:pos="0"/>
        </w:tabs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4F0C12" w:rsidRPr="00EE333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0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ДСанПіН</w:t>
      </w:r>
      <w:proofErr w:type="spellEnd"/>
      <w:r w:rsidRPr="00230B7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0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3.3.2.007-98</w:t>
      </w:r>
    </w:p>
    <w:p w:rsidR="00EE3332" w:rsidRDefault="00EE3332" w:rsidP="00EE333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3332">
        <w:rPr>
          <w:rFonts w:ascii="Times New Roman" w:hAnsi="Times New Roman" w:cs="Times New Roman"/>
          <w:sz w:val="28"/>
          <w:szCs w:val="28"/>
          <w:lang w:val="uk-UA"/>
        </w:rPr>
        <w:t>ДСН 3.3.6.042199</w:t>
      </w:r>
    </w:p>
    <w:p w:rsidR="00094571" w:rsidRPr="00230B75" w:rsidRDefault="00094571" w:rsidP="00094571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571">
        <w:rPr>
          <w:rFonts w:ascii="Times New Roman" w:hAnsi="Times New Roman" w:cs="Times New Roman"/>
          <w:sz w:val="28"/>
          <w:szCs w:val="28"/>
          <w:lang w:val="uk-UA"/>
        </w:rPr>
        <w:t>НПАОП 0.00-1.31-10</w:t>
      </w:r>
    </w:p>
    <w:p w:rsidR="004F0C1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Основи охорони праці - </w:t>
      </w:r>
      <w:proofErr w:type="spellStart"/>
      <w:r w:rsidRPr="004F0C12">
        <w:rPr>
          <w:rFonts w:ascii="Times New Roman" w:hAnsi="Times New Roman" w:cs="Times New Roman"/>
          <w:sz w:val="28"/>
          <w:szCs w:val="28"/>
          <w:lang w:val="uk-UA"/>
        </w:rPr>
        <w:t>Гандзюк</w:t>
      </w:r>
      <w:proofErr w:type="spellEnd"/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 М.П.</w:t>
      </w:r>
    </w:p>
    <w:p w:rsidR="004F0C1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Основи охорони праці </w:t>
      </w:r>
      <w:proofErr w:type="spellStart"/>
      <w:r w:rsidR="000C7F6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Ткачук</w:t>
      </w:r>
      <w:proofErr w:type="spellEnd"/>
    </w:p>
    <w:sectPr w:rsidR="004F0C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593"/>
    <w:multiLevelType w:val="hybridMultilevel"/>
    <w:tmpl w:val="C2388C1A"/>
    <w:lvl w:ilvl="0" w:tplc="DCA2AF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B2"/>
    <w:rsid w:val="00094571"/>
    <w:rsid w:val="000C7F6F"/>
    <w:rsid w:val="0015710D"/>
    <w:rsid w:val="001F62A6"/>
    <w:rsid w:val="00230B75"/>
    <w:rsid w:val="002E24FF"/>
    <w:rsid w:val="003D4EB9"/>
    <w:rsid w:val="004333B2"/>
    <w:rsid w:val="004F0C12"/>
    <w:rsid w:val="005C284D"/>
    <w:rsid w:val="005D3D4A"/>
    <w:rsid w:val="00617C30"/>
    <w:rsid w:val="00672927"/>
    <w:rsid w:val="00691F9D"/>
    <w:rsid w:val="0076157F"/>
    <w:rsid w:val="00853EB2"/>
    <w:rsid w:val="00AC27B9"/>
    <w:rsid w:val="00B25B6D"/>
    <w:rsid w:val="00B6482C"/>
    <w:rsid w:val="00BD4216"/>
    <w:rsid w:val="00BE473D"/>
    <w:rsid w:val="00C964F9"/>
    <w:rsid w:val="00DD7F4D"/>
    <w:rsid w:val="00E0113E"/>
    <w:rsid w:val="00EC1EED"/>
    <w:rsid w:val="00E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12"/>
    <w:pPr>
      <w:ind w:left="720"/>
      <w:contextualSpacing/>
    </w:pPr>
  </w:style>
  <w:style w:type="character" w:customStyle="1" w:styleId="apple-converted-space">
    <w:name w:val="apple-converted-space"/>
    <w:basedOn w:val="a0"/>
    <w:rsid w:val="004F0C12"/>
  </w:style>
  <w:style w:type="paragraph" w:customStyle="1" w:styleId="Normal">
    <w:name w:val="Normal"/>
    <w:rsid w:val="00094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12"/>
    <w:pPr>
      <w:ind w:left="720"/>
      <w:contextualSpacing/>
    </w:pPr>
  </w:style>
  <w:style w:type="character" w:customStyle="1" w:styleId="apple-converted-space">
    <w:name w:val="apple-converted-space"/>
    <w:basedOn w:val="a0"/>
    <w:rsid w:val="004F0C12"/>
  </w:style>
  <w:style w:type="paragraph" w:customStyle="1" w:styleId="Normal">
    <w:name w:val="Normal"/>
    <w:rsid w:val="00094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A7296-BC00-4F22-826F-DE8CA155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2014-05-28T12:29:00Z</dcterms:created>
  <dcterms:modified xsi:type="dcterms:W3CDTF">2014-05-28T15:40:00Z</dcterms:modified>
</cp:coreProperties>
</file>