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sz w:val="24"/>
        </w:rPr>
      </w:r>
    </w:p>
    <w:p>
      <w:pPr>
        <w:jc w:val="left"/>
      </w:pPr>
      <w:r>
        <w:rPr>
          <w:rFonts w:ascii="Times New Roman" w:hAnsi="Times New Roman"/>
          <w:b w:val="0"/>
          <w:sz w:val="24"/>
        </w:rPr>
      </w:r>
    </w:p>
    <w:p>
      <w:pPr>
        <w:jc w:val="left"/>
      </w:pPr>
      <w:r>
        <w:rPr>
          <w:rFonts w:ascii="Times New Roman" w:hAnsi="Times New Roman"/>
          <w:b w:val="0"/>
          <w:sz w:val="24"/>
        </w:rPr>
      </w:r>
    </w:p>
    <w:p>
      <w:pPr>
        <w:jc w:val="left"/>
      </w:pPr>
      <w:r>
        <w:rPr>
          <w:rFonts w:ascii="Times New Roman" w:hAnsi="Times New Roman"/>
          <w:b w:val="0"/>
          <w:sz w:val="24"/>
        </w:rPr>
      </w:r>
    </w:p>
    <w:p>
      <w:pPr>
        <w:jc w:val="left"/>
      </w:pPr>
      <w:r>
        <w:rPr>
          <w:rFonts w:ascii="Times New Roman" w:hAnsi="Times New Roman"/>
          <w:b w:val="0"/>
          <w:sz w:val="24"/>
        </w:rPr>
      </w:r>
    </w:p>
    <w:p>
      <w:pPr>
        <w:jc w:val="left"/>
      </w:pPr>
      <w:r>
        <w:rPr>
          <w:rFonts w:ascii="Times New Roman" w:hAnsi="Times New Roman"/>
          <w:b w:val="0"/>
          <w:sz w:val="24"/>
        </w:rPr>
      </w:r>
    </w:p>
    <w:p>
      <w:pPr>
        <w:jc w:val="center"/>
      </w:pPr>
      <w:r>
        <w:rPr>
          <w:rFonts w:ascii="Times New Roman" w:hAnsi="Times New Roman"/>
          <w:b/>
          <w:sz w:val="24"/>
        </w:rPr>
        <w:t>Exploring Instruction-Level Parallelism in Modern Processors:</w:t>
      </w:r>
    </w:p>
    <w:p>
      <w:pPr>
        <w:jc w:val="center"/>
      </w:pPr>
      <w:r>
        <w:rPr>
          <w:rFonts w:ascii="Times New Roman" w:hAnsi="Times New Roman"/>
          <w:b/>
          <w:sz w:val="24"/>
        </w:rPr>
        <w:t>A Literature Review</w:t>
      </w:r>
    </w:p>
    <w:p>
      <w:pPr>
        <w:jc w:val="left"/>
      </w:pPr>
      <w:r>
        <w:rPr>
          <w:rFonts w:ascii="Times New Roman" w:hAnsi="Times New Roman"/>
          <w:b w:val="0"/>
          <w:sz w:val="24"/>
        </w:rPr>
      </w:r>
    </w:p>
    <w:p>
      <w:pPr>
        <w:jc w:val="center"/>
      </w:pPr>
      <w:r>
        <w:rPr>
          <w:rFonts w:ascii="Times New Roman" w:hAnsi="Times New Roman"/>
          <w:b w:val="0"/>
          <w:sz w:val="24"/>
        </w:rPr>
        <w:t>I Chen (Sasha Chen)</w:t>
      </w:r>
    </w:p>
    <w:p>
      <w:pPr>
        <w:jc w:val="center"/>
      </w:pPr>
      <w:r>
        <w:rPr>
          <w:rFonts w:ascii="Times New Roman" w:hAnsi="Times New Roman"/>
          <w:b w:val="0"/>
          <w:sz w:val="24"/>
        </w:rPr>
        <w:t>University of the Cumberlands</w:t>
      </w:r>
    </w:p>
    <w:p>
      <w:pPr>
        <w:jc w:val="center"/>
      </w:pPr>
      <w:r>
        <w:rPr>
          <w:rFonts w:ascii="Times New Roman" w:hAnsi="Times New Roman"/>
          <w:b w:val="0"/>
          <w:sz w:val="24"/>
        </w:rPr>
        <w:t>MSCS 632: Advanced Computer Architecture</w:t>
      </w:r>
    </w:p>
    <w:p>
      <w:pPr>
        <w:jc w:val="center"/>
      </w:pPr>
      <w:r>
        <w:rPr>
          <w:rFonts w:ascii="Times New Roman" w:hAnsi="Times New Roman"/>
          <w:b w:val="0"/>
          <w:sz w:val="24"/>
        </w:rPr>
        <w:t>October 2026</w:t>
      </w:r>
    </w:p>
    <w:p>
      <w:r>
        <w:br w:type="page"/>
      </w:r>
    </w:p>
    <w:p>
      <w:pPr>
        <w:jc w:val="center"/>
      </w:pPr>
      <w:r>
        <w:rPr>
          <w:rFonts w:ascii="Times New Roman" w:hAnsi="Times New Roman"/>
          <w:b/>
          <w:sz w:val="24"/>
        </w:rPr>
        <w:t>Exploring Instruction-Level Parallelism in Modern Processors: A Literature Review</w:t>
      </w:r>
    </w:p>
    <w:p>
      <w:pPr>
        <w:ind w:firstLine="720"/>
        <w:jc w:val="left"/>
      </w:pPr>
      <w:r>
        <w:rPr>
          <w:rFonts w:ascii="Times New Roman" w:hAnsi="Times New Roman"/>
          <w:b w:val="0"/>
          <w:sz w:val="24"/>
        </w:rPr>
        <w:t>Instruction-level parallelism (ILP)—the overlap among instructions that allows multiple operations to proceed simultaneously—has been the primary mechanism for improving uniprocessor performance since the 1980s (Hennessy &amp; Patterson, 2019). Through pipelining, dynamic scheduling, branch prediction, and speculation, modern processors extract significant parallelism from sequential instruction streams. However, power constraints and diminishing returns have shifted attention toward multicore designs, heterogeneous architectures, and machine learning-based optimizations (Muralidhar et al., 2022). This review traces ILP's evolution, analyzes its core concepts, critiques contemporary challenges, and synthesizes future directions drawn from five recent peer-reviewed studies.</w:t>
      </w:r>
    </w:p>
    <w:p>
      <w:pPr>
        <w:jc w:val="center"/>
      </w:pPr>
      <w:r>
        <w:rPr>
          <w:rFonts w:ascii="Times New Roman" w:hAnsi="Times New Roman"/>
          <w:b/>
          <w:sz w:val="24"/>
        </w:rPr>
        <w:t>Historical Evolution of ILP</w:t>
      </w:r>
    </w:p>
    <w:p>
      <w:pPr>
        <w:ind w:firstLine="720"/>
        <w:jc w:val="left"/>
      </w:pPr>
      <w:r>
        <w:rPr>
          <w:rFonts w:ascii="Times New Roman" w:hAnsi="Times New Roman"/>
          <w:b w:val="0"/>
          <w:sz w:val="24"/>
        </w:rPr>
        <w:t>The foundational era of ILP (1960s–1980s) produced concepts central to modern processors. The CDC 6600 (1964) introduced scoreboarding for out-of-order execution, and the IBM 360/91 (1967) implemented Tomasulo's algorithm with reservation stations and register renaming to resolve data hazards dynamically (Hennessy &amp; Patterson, 2019). During the 1980s, RISC architectures facilitated efficient pipelining, and compilers began exposing ILP through loop unrolling and software scheduling. The superscalar revolution (1990s–2000s) then brought processors issuing multiple instructions per cycle, with reorder buffers enabling precise exceptions. Branch prediction evolved from 2-bit counters to correlating and tournament predictors, and eventually to tagged hybrid (TAGE) predictors using multiple history lengths (Hennessy &amp; Patterson, 2019).</w:t>
      </w:r>
    </w:p>
    <w:p>
      <w:pPr>
        <w:ind w:firstLine="720"/>
        <w:jc w:val="left"/>
      </w:pPr>
      <w:r>
        <w:rPr>
          <w:rFonts w:ascii="Times New Roman" w:hAnsi="Times New Roman"/>
          <w:b w:val="0"/>
          <w:sz w:val="24"/>
        </w:rPr>
        <w:t>The power wall era (2004–present) forced a paradigm shift. Dennard scaling ended, making power the primary constraint. Intel's Pentium 4, with its 31-stage pipeline, exemplified the diminishing returns of extreme pipeline depth, and the Itanium's VLIW approach failed commercially. The industry pivoted to multicore designs, trading single-thread ILP for thread-level parallelism (Muralidhar et al., 2022). ILP research now focuses on efficient exploitation within tight power budgets.</w:t>
      </w:r>
    </w:p>
    <w:p>
      <w:pPr>
        <w:jc w:val="center"/>
      </w:pPr>
      <w:r>
        <w:rPr>
          <w:rFonts w:ascii="Times New Roman" w:hAnsi="Times New Roman"/>
          <w:b/>
          <w:sz w:val="24"/>
        </w:rPr>
        <w:t>Analysis of Core ILP Concepts</w:t>
      </w:r>
    </w:p>
    <w:p>
      <w:pPr>
        <w:jc w:val="left"/>
      </w:pPr>
      <w:r>
        <w:rPr>
          <w:rFonts w:ascii="Times New Roman" w:hAnsi="Times New Roman"/>
          <w:b/>
          <w:sz w:val="24"/>
        </w:rPr>
        <w:t>Parallelism Detection and Exploitation</w:t>
      </w:r>
    </w:p>
    <w:p>
      <w:pPr>
        <w:ind w:firstLine="720"/>
        <w:jc w:val="left"/>
      </w:pPr>
      <w:r>
        <w:rPr>
          <w:rFonts w:ascii="Times New Roman" w:hAnsi="Times New Roman"/>
          <w:b w:val="0"/>
          <w:sz w:val="24"/>
        </w:rPr>
        <w:t>Modern processors detect ILP through hardware and software mechanisms. Tomasulo's algorithm uses reservation stations to rename destinations, eliminating WAR and WAW hazards and enabling out-of-order execution while preserving correct data flow (Hennessy &amp; Patterson, 2019). Hardware speculation extends this by executing past unresolved branches, with the reorder buffer enabling in-order commitment. On the software side, loop unrolling remains effective: a four-times unrolled, scheduled loop achieves 3.5 cycles per element versus 8 cycles unscheduled. For VLIW architectures, Deng et al. (2024) proposed a two-dimensional constrained dynamic programming approach that jointly optimizes execution time and resource utilization, outperforming traditional list scheduling.</w:t>
      </w:r>
    </w:p>
    <w:p>
      <w:pPr>
        <w:jc w:val="left"/>
      </w:pPr>
      <w:r>
        <w:rPr>
          <w:rFonts w:ascii="Times New Roman" w:hAnsi="Times New Roman"/>
          <w:b/>
          <w:sz w:val="24"/>
        </w:rPr>
        <w:t>ILP Limitations and Performance Trade-offs</w:t>
      </w:r>
    </w:p>
    <w:p>
      <w:pPr>
        <w:ind w:firstLine="720"/>
        <w:jc w:val="left"/>
      </w:pPr>
      <w:r>
        <w:rPr>
          <w:rFonts w:ascii="Times New Roman" w:hAnsi="Times New Roman"/>
          <w:b w:val="0"/>
          <w:sz w:val="24"/>
        </w:rPr>
        <w:t>Three dependence types constrain ILP: true data dependences (RAW hazards) reflecting actual data flow; name dependences (WAR/WAW) from register reuse, eliminated by renaming; and control dependences from branches, addressed through prediction and speculation (Hennessy &amp; Patterson, 2019). Practical limits include finite resources, memory latency, and the power cost of speculative structures. Muralidhar et al. (2022) identified the power wall as the most critical constraint. ILP effectiveness is measured through IPC, CPI decomposition, and MPKI; wider issue increases power superlinearly, deeper pipelines amplify misprediction penalties, and larger speculation windows waste energy on squashed instructions.</w:t>
      </w:r>
    </w:p>
    <w:p>
      <w:pPr>
        <w:jc w:val="center"/>
      </w:pPr>
      <w:r>
        <w:rPr>
          <w:rFonts w:ascii="Times New Roman" w:hAnsi="Times New Roman"/>
          <w:b/>
          <w:sz w:val="24"/>
        </w:rPr>
        <w:t>Critique of Current Challenges</w:t>
      </w:r>
    </w:p>
    <w:p>
      <w:pPr>
        <w:ind w:firstLine="720"/>
        <w:jc w:val="left"/>
      </w:pPr>
      <w:r>
        <w:rPr>
          <w:rFonts w:ascii="Times New Roman" w:hAnsi="Times New Roman"/>
          <w:b w:val="0"/>
          <w:sz w:val="24"/>
        </w:rPr>
        <w:t>Branch prediction accuracy remains a bottleneck. Schall et al. (2024) found that TAGE-SC-L with a 64 KB budget still wastes 3.6%–20% of execution cycles on mispredictions in server workloads, and scaling storage yields diminishing returns. Their Last-Level Branch Predictor (LLBP) adds a 512 KB backing store behind TAGE with context-based prefetching, reducing MPKI by 8.9%. Zangeneh et al. (2020) applied convolutional neural networks to hard-to-predict branches, demonstrating that ML can complement traditional predictors by learning non-linear patterns in branch history, though latency constraints remain a tension.</w:t>
      </w:r>
    </w:p>
    <w:p>
      <w:pPr>
        <w:ind w:firstLine="720"/>
        <w:jc w:val="left"/>
      </w:pPr>
      <w:r>
        <w:rPr>
          <w:rFonts w:ascii="Times New Roman" w:hAnsi="Times New Roman"/>
          <w:b w:val="0"/>
          <w:sz w:val="24"/>
        </w:rPr>
        <w:t>Power consumption is the dominant design constraint. Muralidhar et al. (2022) noted that speculative execution wastes energy when incorrect, and dark silicon further limits available structures. Extending ILP to constrained domains also poses challenges: Hu et al. (2022) demonstrated that scaled-down out-of-order techniques benefit even microcontrollers, with their RISC-V design quadrupling pipelined instructions at only 18.37% additional FPGA LUT utilization.</w:t>
      </w:r>
    </w:p>
    <w:p>
      <w:pPr>
        <w:jc w:val="center"/>
      </w:pPr>
      <w:r>
        <w:rPr>
          <w:rFonts w:ascii="Times New Roman" w:hAnsi="Times New Roman"/>
          <w:b/>
          <w:sz w:val="24"/>
        </w:rPr>
        <w:t>Synthesis of Future Directions</w:t>
      </w:r>
    </w:p>
    <w:p>
      <w:pPr>
        <w:ind w:firstLine="720"/>
        <w:jc w:val="left"/>
      </w:pPr>
      <w:r>
        <w:rPr>
          <w:rFonts w:ascii="Times New Roman" w:hAnsi="Times New Roman"/>
          <w:b w:val="0"/>
          <w:sz w:val="24"/>
        </w:rPr>
        <w:t>Machine learning-based optimization represents the most transformative opportunity. BranchNet (Zangeneh et al., 2020) demonstrated viable neural prediction, and hierarchical organizations like LLBP (Schall et al., 2024) offer a pragmatic path by applying cache-hierarchy concepts to prediction. Heterogeneous architectures with cores optimized for different ILP profiles are another avenue; Muralidhar et al. (2022) advocated energy-aware heterogeneity matching workloads to core capabilities at runtime. Compiler-hardware co-design also shows promise: Deng et al.'s (2024) VLIW scheduling improvements suggest that sophisticated compile-time analysis could narrow the gap with dynamic scheduling while avoiding its power overhead. The open RISC-V ecosystem provides a natural experimentation platform, as Hu et al.'s (2022) microcontroller work demonstrates.</w:t>
      </w:r>
    </w:p>
    <w:p>
      <w:pPr>
        <w:jc w:val="center"/>
      </w:pPr>
      <w:r>
        <w:rPr>
          <w:rFonts w:ascii="Times New Roman" w:hAnsi="Times New Roman"/>
          <w:b/>
          <w:sz w:val="24"/>
        </w:rPr>
        <w:t>Conclusion</w:t>
      </w:r>
    </w:p>
    <w:p>
      <w:pPr>
        <w:ind w:firstLine="720"/>
        <w:jc w:val="left"/>
      </w:pPr>
      <w:r>
        <w:rPr>
          <w:rFonts w:ascii="Times New Roman" w:hAnsi="Times New Roman"/>
          <w:b w:val="0"/>
          <w:sz w:val="24"/>
        </w:rPr>
        <w:t>ILP has driven five decades of processor performance improvement, yet the field faces real constraints: power limits aggressive speculation, misprediction wastes resources, and data-flow limits bound extractable parallelism. Contemporary research addresses these through ML-based prediction (Zangeneh et al., 2020), hierarchical predictors (Schall et al., 2024), improved compiler scheduling (Deng et al., 2024), energy-aware design (Muralidhar et al., 2022), and ILP for constrained domains (Hu et al., 2022). ILP remains critical across the computing hierarchy, and its evolution will continue to shape processor design.</w:t>
      </w:r>
    </w:p>
    <w:p>
      <w:r>
        <w:br w:type="page"/>
      </w:r>
    </w:p>
    <w:p>
      <w:pPr>
        <w:jc w:val="center"/>
      </w:pPr>
      <w:r>
        <w:rPr>
          <w:rFonts w:ascii="Times New Roman" w:hAnsi="Times New Roman"/>
          <w:b/>
          <w:sz w:val="24"/>
        </w:rPr>
        <w:t>References</w:t>
      </w:r>
    </w:p>
    <w:p>
      <w:pPr>
        <w:ind w:left="720" w:hanging="720"/>
      </w:pPr>
      <w:r>
        <w:rPr>
          <w:rFonts w:ascii="Times New Roman" w:hAnsi="Times New Roman"/>
          <w:sz w:val="24"/>
        </w:rPr>
        <w:t>Deng, C., Chen, Z., Shi, Y., Ma, Y., Wen, M., &amp; Luo, L. (2024). Optimizing VLIW instruction scheduling via a two-dimensional constrained dynamic programming. ACM Transactions on Design Automation of Electronic Systems, 29(5). https://doi.org/10.1145/3643135</w:t>
      </w:r>
    </w:p>
    <w:p>
      <w:pPr>
        <w:ind w:left="720" w:hanging="720"/>
      </w:pPr>
      <w:r>
        <w:rPr>
          <w:rFonts w:ascii="Times New Roman" w:hAnsi="Times New Roman"/>
          <w:sz w:val="24"/>
        </w:rPr>
        <w:t>Hennessy, J. L., &amp; Patterson, D. A. (2019). Computer architecture: A quantitative approach (6th ed.). Morgan Kaufmann.</w:t>
      </w:r>
    </w:p>
    <w:p>
      <w:pPr>
        <w:ind w:left="720" w:hanging="720"/>
      </w:pPr>
      <w:r>
        <w:rPr>
          <w:rFonts w:ascii="Times New Roman" w:hAnsi="Times New Roman"/>
          <w:sz w:val="24"/>
        </w:rPr>
        <w:t>Hu, Y., Chen, J., Zhu, K., Xing, Q., Liu, W., Shen, J., &amp; Gao, G. (2022). Specially-designed out-of-order processor architecture for microcontrollers. Electronics, 11(19), Article 2989. https://doi.org/10.3390/electronics11192989</w:t>
      </w:r>
    </w:p>
    <w:p>
      <w:pPr>
        <w:ind w:left="720" w:hanging="720"/>
      </w:pPr>
      <w:r>
        <w:rPr>
          <w:rFonts w:ascii="Times New Roman" w:hAnsi="Times New Roman"/>
          <w:sz w:val="24"/>
        </w:rPr>
        <w:t>Muralidhar, R., Borovica-Gajic, R., &amp; Buyya, R. (2022). Energy efficient computing systems: Architectures, abstractions and modeling to techniques and standards. ACM Computing Surveys, 54(11s), Article 236. https://doi.org/10.1145/3511094</w:t>
      </w:r>
    </w:p>
    <w:p>
      <w:pPr>
        <w:ind w:left="720" w:hanging="720"/>
      </w:pPr>
      <w:r>
        <w:rPr>
          <w:rFonts w:ascii="Times New Roman" w:hAnsi="Times New Roman"/>
          <w:sz w:val="24"/>
        </w:rPr>
        <w:t>Schall, D., Sandberg, A., &amp; Grot, B. (2024). The last-level branch predictor. In Proceedings of the 57th IEEE/ACM International Symposium on Microarchitecture (MICRO '24). IEEE. https://doi.org/10.1109/MICRO61859.2024.00069</w:t>
      </w:r>
    </w:p>
    <w:p>
      <w:pPr>
        <w:ind w:left="720" w:hanging="720"/>
      </w:pPr>
      <w:r>
        <w:rPr>
          <w:rFonts w:ascii="Times New Roman" w:hAnsi="Times New Roman"/>
          <w:sz w:val="24"/>
        </w:rPr>
        <w:t>Zangeneh, S., Pruett, S., Lym, S., &amp; Patt, Y. N. (2020). BranchNet: A convolutional neural network to predict hard-to-predict branches. In Proceedings of the 53rd Annual IEEE/ACM International Symposium on Microarchitecture (MICRO '53), 118–130. https://doi.org/10.1109/MICRO50266.2020.00022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