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CAPITAL HOUSE</w:t>
      </w:r>
    </w:p>
    <w:p>
      <w:pPr>
        <w:pStyle w:val="Normal"/>
        <w:jc w:val="center"/>
        <w:rPr/>
      </w:pPr>
      <w:r>
        <w:rPr>
          <w:b/>
          <w:sz w:val="24"/>
        </w:rPr>
        <w:t>SCOPE OF WORK (SOW) — UPDATED ESTIMATION</w:t>
      </w:r>
    </w:p>
    <w:p>
      <w:pPr>
        <w:pStyle w:val="Heading1"/>
        <w:rPr/>
      </w:pPr>
      <w:r>
        <w:rPr/>
        <w:t>1. Web Application — Core &amp; Mandatory Modules</w:t>
      </w:r>
    </w:p>
    <w:p>
      <w:pPr>
        <w:pStyle w:val="Normal"/>
        <w:rPr/>
      </w:pPr>
      <w:r>
        <w:rPr/>
        <w:t>Estimated Effort: 200–240 hrs / 25–30 working days</w:t>
      </w:r>
    </w:p>
    <w:tbl>
      <w:tblPr>
        <w:tblStyle w:val="TableGrid"/>
        <w:tblW w:w="1036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456"/>
        <w:gridCol w:w="3456"/>
        <w:gridCol w:w="3456"/>
      </w:tblGrid>
      <w:tr>
        <w:trPr/>
        <w:tc>
          <w:tcPr>
            <w:tcW w:w="3456"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Module</w:t>
            </w:r>
          </w:p>
        </w:tc>
        <w:tc>
          <w:tcPr>
            <w:tcW w:w="3456"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Description</w:t>
            </w:r>
          </w:p>
        </w:tc>
        <w:tc>
          <w:tcPr>
            <w:tcW w:w="3456"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Estimated Effort</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Training &amp; Documentation</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Training content, learning materials, document library, staff progress and completion tracking.</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14–18 hrs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Lead Management</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Lead creation, assignment, stages, source tracking, follow-ups, reminders, notes and conversion.</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24–30 hrs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Renewal Management</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Upcoming renewals, expiry tracking, reminders, follow-ups, status and renewal history.</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18–24 hrs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Calling &amp; Follow-up Management</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Call records, remarks, callback scheduling, activities and activity history.</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16–20 hrs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Client &amp; Family Management</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Client profiles, family members, contact details, documents, relationships and history.</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22–28 hrs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Policy Management</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Policy details, members, coverage, documents, status, expiry and policy history.</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28–34 hrs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Quotation Management</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Quotation creation, comparison, premium details, status, follow-up and conversion tracking.</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22–26 hrs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Payment Management</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Payment records, pending payments, status, receipts, collection tracking and history.</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16–20 hrs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Portability Management</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Portability requests, existing/new policy details, document collection, status and follow-ups.</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12–16 hrs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Notifications</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System notifications, renewal, follow-up, payment and task alerts.</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10–12 hrs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WhatsApp Marketing</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Templates, campaigns, individual/bulk messaging, reminders and delivery/status tracking.</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18–22 hrs</w:t>
            </w:r>
          </w:p>
        </w:tc>
      </w:tr>
    </w:tbl>
    <w:p>
      <w:pPr>
        <w:pStyle w:val="Normal"/>
        <w:rPr/>
      </w:pPr>
      <w:r>
        <w:rPr/>
        <w:t>Section estimate is consolidated at 25–30 working days, accounting for shared Web architecture, reusable UI/API components and parallel implementation.</w:t>
      </w:r>
    </w:p>
    <w:p>
      <w:pPr>
        <w:pStyle w:val="Heading1"/>
        <w:rPr/>
      </w:pPr>
      <w:r>
        <w:rPr/>
        <w:t>2. Web Application — Business Management Modules</w:t>
      </w:r>
    </w:p>
    <w:p>
      <w:pPr>
        <w:pStyle w:val="Normal"/>
        <w:rPr/>
      </w:pPr>
      <w:r>
        <w:rPr/>
        <w:t>Estimated Effort: 86–114 hrs / 11–14 working days</w:t>
      </w:r>
    </w:p>
    <w:tbl>
      <w:tblPr>
        <w:tblStyle w:val="TableGrid"/>
        <w:tblW w:w="898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070"/>
        <w:gridCol w:w="3464"/>
        <w:gridCol w:w="3451"/>
      </w:tblGrid>
      <w:tr>
        <w:trPr/>
        <w:tc>
          <w:tcPr>
            <w:tcW w:w="2070"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Module</w:t>
            </w:r>
          </w:p>
        </w:tc>
        <w:tc>
          <w:tcPr>
            <w:tcW w:w="3464"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Description</w:t>
            </w:r>
          </w:p>
        </w:tc>
        <w:tc>
          <w:tcPr>
            <w:tcW w:w="3451"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Estimated Effort</w:t>
            </w:r>
          </w:p>
        </w:tc>
      </w:tr>
      <w:tr>
        <w:trPr/>
        <w:tc>
          <w:tcPr>
            <w:tcW w:w="207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Ticket / Support Management</w:t>
            </w:r>
          </w:p>
        </w:tc>
        <w:tc>
          <w:tcPr>
            <w:tcW w:w="346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Ticket creation, assignment, priority, status, communication, comments, attachments, escalation and resolution.</w:t>
              <w:br/>
              <w:t>Task creation, assignment, priority, due dates, status, reminders and activity tracking.</w:t>
            </w:r>
          </w:p>
        </w:tc>
        <w:tc>
          <w:tcPr>
            <w:tcW w:w="34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14–18 hrs</w:t>
            </w:r>
          </w:p>
        </w:tc>
      </w:tr>
      <w:tr>
        <w:trPr/>
        <w:tc>
          <w:tcPr>
            <w:tcW w:w="207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Claim Management</w:t>
            </w:r>
          </w:p>
        </w:tc>
        <w:tc>
          <w:tcPr>
            <w:tcW w:w="346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Claim registration, policy mapping, documents, follow-ups, status and settlement tracking.</w:t>
            </w:r>
          </w:p>
        </w:tc>
        <w:tc>
          <w:tcPr>
            <w:tcW w:w="34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16–20 hrs</w:t>
            </w:r>
          </w:p>
        </w:tc>
      </w:tr>
      <w:tr>
        <w:trPr/>
        <w:tc>
          <w:tcPr>
            <w:tcW w:w="207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Income / Commission Management</w:t>
            </w:r>
          </w:p>
        </w:tc>
        <w:tc>
          <w:tcPr>
            <w:tcW w:w="346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Commission calculation, staff commissions, incentives, payout tracking and commission history.</w:t>
            </w:r>
          </w:p>
        </w:tc>
        <w:tc>
          <w:tcPr>
            <w:tcW w:w="34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14–18 hrs</w:t>
            </w:r>
          </w:p>
        </w:tc>
      </w:tr>
      <w:tr>
        <w:trPr/>
        <w:tc>
          <w:tcPr>
            <w:tcW w:w="207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Advanced Reports &amp; Analytics</w:t>
            </w:r>
          </w:p>
        </w:tc>
        <w:tc>
          <w:tcPr>
            <w:tcW w:w="346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Sales, staff, branch, lead, renewal, claim, collection and revenue analytics.</w:t>
            </w:r>
          </w:p>
        </w:tc>
        <w:tc>
          <w:tcPr>
            <w:tcW w:w="34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20–28 hrs</w:t>
            </w:r>
          </w:p>
        </w:tc>
      </w:tr>
      <w:tr>
        <w:trPr/>
        <w:tc>
          <w:tcPr>
            <w:tcW w:w="207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Third-Party Policy Management</w:t>
            </w:r>
          </w:p>
        </w:tc>
        <w:tc>
          <w:tcPr>
            <w:tcW w:w="346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External policy entry/import, mapping, validation, tracking and status management.</w:t>
            </w:r>
          </w:p>
        </w:tc>
        <w:tc>
          <w:tcPr>
            <w:tcW w:w="34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10–14 hrs</w:t>
            </w:r>
          </w:p>
        </w:tc>
      </w:tr>
    </w:tbl>
    <w:p>
      <w:pPr>
        <w:pStyle w:val="Heading1"/>
        <w:rPr/>
      </w:pPr>
      <w:r>
        <w:rPr/>
        <w:t>3. Mobile Application — Staff &amp; Client</w:t>
      </w:r>
    </w:p>
    <w:p>
      <w:pPr>
        <w:pStyle w:val="Normal"/>
        <w:rPr/>
      </w:pPr>
      <w:r>
        <w:rPr/>
        <w:t>Estimated Effort: 15–20 working days</w:t>
      </w:r>
    </w:p>
    <w:tbl>
      <w:tblPr>
        <w:tblStyle w:val="TableGrid"/>
        <w:tblW w:w="1036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456"/>
        <w:gridCol w:w="3456"/>
        <w:gridCol w:w="3456"/>
      </w:tblGrid>
      <w:tr>
        <w:trPr/>
        <w:tc>
          <w:tcPr>
            <w:tcW w:w="3456"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Application / Component</w:t>
            </w:r>
          </w:p>
        </w:tc>
        <w:tc>
          <w:tcPr>
            <w:tcW w:w="3456"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Description</w:t>
            </w:r>
          </w:p>
        </w:tc>
        <w:tc>
          <w:tcPr>
            <w:tcW w:w="3456"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Estimated Effort</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Staff Application</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Secure login/RBAC, dashboard, leads, clients, policies, renewals, follow-ups, tasks and notifications.</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6-8 Days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Client Application</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Secure login, dashboard, profile/family, policies/documents, renewals, payments, claims, support/tickets and notifications.</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6-8 Days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Shared Mobile Foundation</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API integration, authentication, reusable components, push notifications and Android/iOS builds.</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3-4 Days</w:t>
            </w:r>
          </w:p>
        </w:tc>
      </w:tr>
    </w:tbl>
    <w:p>
      <w:pPr>
        <w:pStyle w:val="Heading1"/>
        <w:rPr/>
      </w:pPr>
      <w:r>
        <w:rPr/>
        <w:t>4. Mobile Application — Staff Call Forwarding</w:t>
      </w:r>
    </w:p>
    <w:p>
      <w:pPr>
        <w:pStyle w:val="Normal"/>
        <w:rPr/>
      </w:pPr>
      <w:r>
        <w:rPr/>
        <w:t>Estimated Effort: 7–10 working days</w:t>
      </w:r>
    </w:p>
    <w:tbl>
      <w:tblPr>
        <w:tblStyle w:val="TableGrid"/>
        <w:tblW w:w="1036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456"/>
        <w:gridCol w:w="3456"/>
        <w:gridCol w:w="3456"/>
      </w:tblGrid>
      <w:tr>
        <w:trPr/>
        <w:tc>
          <w:tcPr>
            <w:tcW w:w="3456"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Component</w:t>
            </w:r>
          </w:p>
        </w:tc>
        <w:tc>
          <w:tcPr>
            <w:tcW w:w="3456"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Description</w:t>
            </w:r>
          </w:p>
        </w:tc>
        <w:tc>
          <w:tcPr>
            <w:tcW w:w="3456"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Estimated Effort</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Call Forwarding &amp; Telephony</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Staff call forwarding and approved SIP/telephony integration, subject to provider/platform capabilities.</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3-4 Days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Call Activity</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Incoming, outgoing and missed call activity with date/time records and follow-up creation.</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2-3 Days</w:t>
            </w:r>
          </w:p>
        </w:tc>
      </w:tr>
      <w:tr>
        <w:trPr/>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Admin Monitoring</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Admin visibility of call activity and related follow-up information, subject to Android/iOS permissions and provider APIs.</w:t>
            </w:r>
          </w:p>
        </w:tc>
        <w:tc>
          <w:tcPr>
            <w:tcW w:w="34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2-3 Days</w:t>
            </w:r>
          </w:p>
        </w:tc>
      </w:tr>
    </w:tbl>
    <w:p>
      <w:pPr>
        <w:pStyle w:val="Heading1"/>
        <w:rPr/>
      </w:pPr>
      <w:r>
        <w:rPr/>
        <w:t>Technology &amp; System Architecture</w:t>
      </w:r>
    </w:p>
    <w:tbl>
      <w:tblPr>
        <w:tblStyle w:val="TableGrid"/>
        <w:tblW w:w="1036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5184"/>
        <w:gridCol w:w="5183"/>
      </w:tblGrid>
      <w:tr>
        <w:trPr/>
        <w:tc>
          <w:tcPr>
            <w:tcW w:w="5184"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Layer</w:t>
            </w:r>
          </w:p>
        </w:tc>
        <w:tc>
          <w:tcPr>
            <w:tcW w:w="5183"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Technology</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Web Application</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React + TypeScript</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Backend / API</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Laravel + PHP</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Database</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MySQL / MariaDB</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Mobile Application</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React Native + TypeScript</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Push Notifications</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Firebase Cloud Messaging</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Hosting</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cPanel-compatible Web/API hosting</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Version Control</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Git</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Telephony</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Approved SIP / Telephony Provider</w:t>
            </w:r>
          </w:p>
        </w:tc>
      </w:tr>
    </w:tbl>
    <w:p>
      <w:pPr>
        <w:pStyle w:val="Heading1"/>
        <w:rPr/>
      </w:pPr>
      <w:r>
        <w:rPr/>
        <w:t>cPanel &amp; Mobile Application — Hosting Note</w:t>
      </w:r>
    </w:p>
    <w:p>
      <w:pPr>
        <w:pStyle w:val="Normal"/>
        <w:rPr/>
      </w:pPr>
      <w:r>
        <w:rPr/>
        <w:t>cPanel can host the Web Application, centralized Backend/API, database and required server-side services. The Android and iOS Mobile Applications are installed on users’ devices and distributed through the Google Play Store and Apple App Store (or other approved distribution methods). The Mobile Applications connect to the Backend/API hosted on cPanel. Therefore, cPanel supports the Mobile Application architecture through backend/API hosting; the mobile app binaries are not hosted as applications on cPanel.</w:t>
      </w:r>
    </w:p>
    <w:p>
      <w:pPr>
        <w:pStyle w:val="Heading1"/>
        <w:rPr/>
      </w:pPr>
      <w:r>
        <w:rPr/>
        <w:t>Phase 1 — Overall Effort Summary</w:t>
      </w:r>
    </w:p>
    <w:tbl>
      <w:tblPr>
        <w:tblStyle w:val="TableGrid"/>
        <w:tblW w:w="1036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5184"/>
        <w:gridCol w:w="5183"/>
      </w:tblGrid>
      <w:tr>
        <w:trPr/>
        <w:tc>
          <w:tcPr>
            <w:tcW w:w="5184"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Section</w:t>
            </w:r>
          </w:p>
        </w:tc>
        <w:tc>
          <w:tcPr>
            <w:tcW w:w="5183"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Estimated Effort</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Web — Core &amp; Mandatory</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25–30 working days</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 Web — Business Management</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11–14 working days</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 Mobile — Staff &amp; Client</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15–20 working days</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 Mobile — Staff Call Forwarding</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7–10 working days</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Total Phase 1</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58–74 working days</w:t>
            </w:r>
          </w:p>
        </w:tc>
      </w:tr>
    </w:tbl>
    <w:p>
      <w:pPr>
        <w:pStyle w:val="Normal"/>
        <w:rPr/>
      </w:pPr>
      <w:r>
        <w:rPr/>
        <w:t>Note: The Web sections use the same Web CRM codebase and shared infrastructure. The Mobile Staff and Client applications use one React Native codebase with Android/iOS builds. Estimates are development-effort ranges and may overlap where parallel development is feasible.</w:t>
      </w:r>
    </w:p>
    <w:p>
      <w:pPr>
        <w:pStyle w:val="Heading1"/>
        <w:rPr/>
      </w:pPr>
      <w:r>
        <w:rPr/>
        <w:t>Optional Advanced AI</w:t>
      </w:r>
    </w:p>
    <w:tbl>
      <w:tblPr>
        <w:tblStyle w:val="TableGrid"/>
        <w:tblW w:w="1036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5184"/>
        <w:gridCol w:w="5183"/>
      </w:tblGrid>
      <w:tr>
        <w:trPr/>
        <w:tc>
          <w:tcPr>
            <w:tcW w:w="5184"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Module</w:t>
            </w:r>
          </w:p>
        </w:tc>
        <w:tc>
          <w:tcPr>
            <w:tcW w:w="5183" w:type="dxa"/>
            <w:tcBorders/>
            <w:shd w:fill="D9E2F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Key Features</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Meeting Transcription</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Speech-to-text transcription</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Meeting Summary</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 points, decisions and action items</w:t>
            </w:r>
          </w:p>
        </w:tc>
      </w:tr>
      <w:tr>
        <w:trPr/>
        <w:tc>
          <w:tcPr>
            <w:tcW w:w="518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SIP AI Enhancements</w:t>
            </w:r>
          </w:p>
        </w:tc>
        <w:tc>
          <w:tcPr>
            <w:tcW w:w="518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AI-enabled SIP / voice integration features</w:t>
            </w:r>
          </w:p>
        </w:tc>
      </w:tr>
    </w:tbl>
    <w:p>
      <w:pPr>
        <w:pStyle w:val="Normal"/>
        <w:rPr/>
      </w:pPr>
      <w:r>
        <w:rPr/>
        <w:t>AI features are optional and subject to API availability, technical feasibility, third-party service limitations and applicable usage charges.</w:t>
      </w:r>
    </w:p>
    <w:p>
      <w:pPr>
        <w:pStyle w:val="Heading1"/>
        <w:rPr/>
      </w:pPr>
      <w:r>
        <w:rPr/>
        <w:t>Third-Party Integrations</w:t>
      </w:r>
    </w:p>
    <w:p>
      <w:pPr>
        <w:pStyle w:val="Normal"/>
        <w:rPr/>
      </w:pPr>
      <w:r>
        <w:rPr/>
        <w:t>Third-party integrations may include WhatsApp, SMS/Email services, payment gateways, SIP, Insurance/Policy APIs and other approved third-party systems. Integration is subject to availability of required APIs, documentation, credentials, permissions and third-party capabilities. Third-party subscription, licensing, usage and transaction charges are separate from the development scope.</w:t>
      </w:r>
    </w:p>
    <w:p>
      <w:pPr>
        <w:pStyle w:val="Heading1"/>
        <w:rPr/>
      </w:pPr>
      <w:r>
        <w:rPr/>
        <w:t>Scope Confirmation</w:t>
      </w:r>
    </w:p>
    <w:p>
      <w:pPr>
        <w:pStyle w:val="Normal"/>
        <w:widowControl/>
        <w:bidi w:val="0"/>
        <w:spacing w:lineRule="auto" w:line="276" w:before="0" w:after="200"/>
        <w:jc w:val="start"/>
        <w:rPr/>
      </w:pPr>
      <w:r>
        <w:rPr/>
        <w:t>Phase 1 includes the Web Application, Mobile Application for Staff &amp; Client, and Staff Call Forwarding functionality as defined in Sections 1–4. The Web Application is developed as one unified CRM codebase, while the Mobile Application uses a separate React Native codebase for Android and iOS.</w:t>
      </w:r>
    </w:p>
    <w:sectPr>
      <w:type w:val="nextPage"/>
      <w:pgSz w:w="12240" w:h="15840"/>
      <w:pgMar w:left="936" w:right="936" w:gutter="0" w:header="0" w:top="792" w:footer="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3</Pages>
  <Words>813</Words>
  <Characters>5307</Characters>
  <CharactersWithSpaces>5964</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2026-09-17T13:14:37Z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