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Есть три здания, которые производят три вида ресурсов. У зданий есть два склада для потребляемых и производимых ресурсов, которые имеют ограниченную вместимость. Ресурсы имеют вид прямоугольных блоков трех разных цветов. Схема производства изображена на рисунке: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3114675</wp:posOffset>
                </wp:positionH>
                <wp:positionV relativeFrom="paragraph">
                  <wp:posOffset>123825</wp:posOffset>
                </wp:positionV>
                <wp:extent cx="3081338" cy="2940264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18575" y="1694850"/>
                          <a:ext cx="3081338" cy="2940264"/>
                          <a:chOff x="2118575" y="1694850"/>
                          <a:chExt cx="2060100" cy="19627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18575" y="2970900"/>
                            <a:ext cx="686700" cy="686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491975" y="2970869"/>
                            <a:ext cx="686700" cy="686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805275" y="1694850"/>
                            <a:ext cx="686700" cy="686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05275" y="3314250"/>
                            <a:ext cx="68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48625" y="2381669"/>
                            <a:ext cx="686700" cy="58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05275" y="2381550"/>
                            <a:ext cx="343500" cy="93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3114675</wp:posOffset>
                </wp:positionH>
                <wp:positionV relativeFrom="paragraph">
                  <wp:posOffset>123825</wp:posOffset>
                </wp:positionV>
                <wp:extent cx="3081338" cy="2940264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1338" cy="29402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Первое здание производит ресурс №1 за единицу времени.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Второе для производства требует на складе ресурс №1.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Третье соответственно требует ресурсы №1 и №2.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Здания прекращают производство  в двух случаях - нет необходимых ресурсов на входящем складе, и заполненность исходящего склада. С помощью текста в UI нужно сообщить игроку, какое производство и по какой причине остановлено.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Игрок управляет с помощью виртуального джойстика персонажем(капсуль). Персонаж имеет инвентарь для переноски ресурсов, с ограниченной вместимостью. Ресурсы в инвентаре отображаются в виде стека за спиной у персонажа. Ресурсы можно собирать на складе для произведенных ресурсов, и передавать на склад для потребляемых, при пересечении триггерной зоны склада. Процесс передачи каждого отдельной единицы ресурса занимает определенное время.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Все перемещения ресурсов: здание -&gt; склад, склад -&gt; персонаж, персонаж -&gt; склад, склад -&gt; здание - должны быть визуализированы линейной интерполяцией.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