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22" w:rsidRPr="00A907F3" w:rsidRDefault="00632522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907F3">
        <w:rPr>
          <w:rFonts w:ascii="Times New Roman" w:hAnsi="Times New Roman" w:cs="Times New Roman"/>
          <w:sz w:val="28"/>
          <w:szCs w:val="28"/>
        </w:rPr>
        <w:t>МАРКЕТИНГОВЫЕ ИССЛЕДОВАНИЯ ПРОГРАММНОГО ПРОДУКТА</w:t>
      </w:r>
    </w:p>
    <w:p w:rsidR="00632522" w:rsidRPr="00BF7E13" w:rsidRDefault="00632522" w:rsidP="007B618C">
      <w:pPr>
        <w:pStyle w:val="a3"/>
        <w:numPr>
          <w:ilvl w:val="1"/>
          <w:numId w:val="1"/>
        </w:numPr>
        <w:tabs>
          <w:tab w:val="left" w:pos="284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B0516">
        <w:rPr>
          <w:rFonts w:ascii="Times New Roman" w:hAnsi="Times New Roman" w:cs="Times New Roman"/>
          <w:sz w:val="28"/>
          <w:szCs w:val="28"/>
        </w:rPr>
        <w:t>Исследо</w:t>
      </w:r>
      <w:r>
        <w:rPr>
          <w:rFonts w:ascii="Times New Roman" w:hAnsi="Times New Roman" w:cs="Times New Roman"/>
          <w:sz w:val="28"/>
          <w:szCs w:val="28"/>
        </w:rPr>
        <w:t>вание программного продукта</w:t>
      </w:r>
    </w:p>
    <w:p w:rsidR="00632522" w:rsidRPr="009A52F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заведениях и прочих предприятиях.</w:t>
      </w:r>
    </w:p>
    <w:p w:rsidR="00632522" w:rsidRDefault="00632522" w:rsidP="00632522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632522" w:rsidRPr="009B0516" w:rsidRDefault="00632522" w:rsidP="00632522">
      <w:pPr>
        <w:pStyle w:val="a3"/>
        <w:numPr>
          <w:ilvl w:val="2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программного продукта</w:t>
      </w:r>
    </w:p>
    <w:p w:rsidR="00632522" w:rsidRPr="009B0516" w:rsidRDefault="00632522" w:rsidP="00632522">
      <w:pPr>
        <w:pStyle w:val="11"/>
        <w:shd w:val="clear" w:color="auto" w:fill="FFFFFF"/>
        <w:spacing w:before="0" w:after="0" w:line="360" w:lineRule="auto"/>
        <w:ind w:firstLine="708"/>
        <w:jc w:val="both"/>
        <w:rPr>
          <w:sz w:val="28"/>
          <w:szCs w:val="28"/>
          <w:shd w:val="clear" w:color="auto" w:fill="FFFF00"/>
        </w:rPr>
      </w:pPr>
      <w:r>
        <w:rPr>
          <w:color w:val="000000"/>
          <w:sz w:val="28"/>
          <w:szCs w:val="28"/>
        </w:rPr>
        <w:t>Система построения расписаний применима в любой области. Она позволяет эффективно использовать временной ресурс, а также распределять имеющиеся ресурсы во времени.</w:t>
      </w:r>
    </w:p>
    <w:p w:rsidR="00632522" w:rsidRPr="009B0516" w:rsidRDefault="00632522" w:rsidP="00632522">
      <w:pPr>
        <w:spacing w:after="0" w:line="360" w:lineRule="auto"/>
        <w:ind w:firstLine="6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Возможные применения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B051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в ВУЗах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распределения нагрузки на сервера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9B0516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расписаний обмена данных для различных систем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5D7ADE" w:rsidRDefault="00632522" w:rsidP="005D7ADE">
      <w:pPr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</w:t>
      </w:r>
      <w:proofErr w:type="gramStart"/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расписаний распределения работы производственных мощностей различных заводов</w:t>
      </w:r>
      <w:proofErr w:type="gramEnd"/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ADE" w:rsidRPr="005D7ADE" w:rsidRDefault="005D7ADE" w:rsidP="005D7ADE">
      <w:pPr>
        <w:shd w:val="clear" w:color="auto" w:fill="FFFFFF"/>
        <w:suppressAutoHyphens/>
        <w:spacing w:after="0" w:line="36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962FAF" w:rsidRDefault="00632522" w:rsidP="006325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1.1.2 Основные свойства программного продукта</w:t>
      </w:r>
    </w:p>
    <w:p w:rsidR="00632522" w:rsidRPr="005D7ADE" w:rsidRDefault="00632522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Доступный пользовательский интерфейс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32522" w:rsidRPr="005D7ADE" w:rsidRDefault="00EB6B63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организация решения;</w:t>
      </w:r>
    </w:p>
    <w:p w:rsidR="005D7ADE" w:rsidRPr="005D7ADE" w:rsidRDefault="005D7ADE" w:rsidP="005D7AD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эффективного расписания по заданным требованиям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2522" w:rsidRPr="00AB5C32" w:rsidRDefault="00632522" w:rsidP="00632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2522" w:rsidRPr="00215452" w:rsidRDefault="00632522" w:rsidP="007B618C">
      <w:pPr>
        <w:pStyle w:val="a3"/>
        <w:numPr>
          <w:ilvl w:val="2"/>
          <w:numId w:val="2"/>
        </w:numPr>
        <w:spacing w:after="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функции </w:t>
      </w:r>
      <w:r w:rsidRPr="009A52F2">
        <w:rPr>
          <w:rFonts w:ascii="Times New Roman" w:hAnsi="Times New Roman" w:cs="Times New Roman"/>
          <w:sz w:val="28"/>
          <w:szCs w:val="28"/>
        </w:rPr>
        <w:t>программного продукта</w:t>
      </w:r>
    </w:p>
    <w:p w:rsidR="00632522" w:rsidRDefault="00632522" w:rsidP="00632522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функции:</w:t>
      </w:r>
    </w:p>
    <w:p w:rsidR="00632522" w:rsidRPr="005D7ADE" w:rsidRDefault="005D7ADE" w:rsidP="005D7AD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632522"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с вводом/выводом информации в удобном для пользователя виде;</w:t>
      </w:r>
    </w:p>
    <w:p w:rsidR="00632522" w:rsidRDefault="005D7ADE" w:rsidP="005D7ADE">
      <w:pPr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632522" w:rsidRPr="005D7ADE">
        <w:rPr>
          <w:rFonts w:ascii="Times New Roman" w:eastAsia="Times New Roman" w:hAnsi="Times New Roman" w:cs="Times New Roman"/>
          <w:color w:val="000000"/>
          <w:sz w:val="28"/>
          <w:szCs w:val="28"/>
        </w:rPr>
        <w:t>редставление рас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писания в виде графика, таблицы.</w:t>
      </w:r>
    </w:p>
    <w:p w:rsidR="005D7ADE" w:rsidRPr="005D7ADE" w:rsidRDefault="005D7ADE" w:rsidP="005D7ADE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45E3">
        <w:rPr>
          <w:rFonts w:ascii="Times New Roman" w:hAnsi="Times New Roman" w:cs="Times New Roman"/>
          <w:sz w:val="28"/>
          <w:szCs w:val="28"/>
        </w:rPr>
        <w:lastRenderedPageBreak/>
        <w:t>Требования к функциональным характеристикам программного продукта в целом</w:t>
      </w:r>
    </w:p>
    <w:p w:rsidR="00EB6B63" w:rsidRDefault="00EB6B63" w:rsidP="00EB6B63">
      <w:pPr>
        <w:pStyle w:val="12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имеет следующие характеристики:</w:t>
      </w:r>
    </w:p>
    <w:p w:rsidR="00EB6B63" w:rsidRPr="005D7ADE" w:rsidRDefault="00EB6B6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выполняться за заданное время;</w:t>
      </w:r>
    </w:p>
    <w:p w:rsidR="00EB6B6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Составленное расписание должно удовлетворять всем требованиям</w:t>
      </w:r>
      <w:r w:rsidR="00EB6B6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62174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должны быть понятны пользователю;</w:t>
      </w:r>
    </w:p>
    <w:p w:rsidR="00621743" w:rsidRDefault="00621743" w:rsidP="00EB6B63">
      <w:pPr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построении расписаний должны учитываться несколько критериев</w:t>
      </w:r>
      <w:r w:rsidR="009F1B3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ADE" w:rsidRPr="008745E3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надежности</w:t>
      </w:r>
    </w:p>
    <w:p w:rsidR="005D7ADE" w:rsidRPr="005D7ADE" w:rsidRDefault="005D7ADE" w:rsidP="005D7A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7ADE" w:rsidRPr="00962FAF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условиям эксплуатации</w:t>
      </w:r>
    </w:p>
    <w:p w:rsidR="005D7ADE" w:rsidRPr="00962FAF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:rsidR="00FC2D64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94A">
        <w:rPr>
          <w:rFonts w:ascii="Times New Roman" w:hAnsi="Times New Roman" w:cs="Times New Roman"/>
          <w:sz w:val="28"/>
          <w:szCs w:val="28"/>
        </w:rPr>
        <w:t>Конкурентоспособность программного продукта</w:t>
      </w:r>
    </w:p>
    <w:p w:rsidR="005D7ADE" w:rsidRPr="005D7ADE" w:rsidRDefault="005D7ADE" w:rsidP="005D7A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D7ADE" w:rsidRDefault="005D7ADE" w:rsidP="005D7ADE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:rsidR="005D7ADE" w:rsidRPr="005D7ADE" w:rsidRDefault="00FC2D64" w:rsidP="005D7ADE">
      <w:pPr>
        <w:pStyle w:val="a3"/>
        <w:numPr>
          <w:ilvl w:val="2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рыночной направленности</w:t>
      </w: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</w:p>
    <w:p w:rsidR="00CA4136" w:rsidRPr="009A52F2" w:rsidRDefault="00CA4136" w:rsidP="00CA4136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A4136" w:rsidRPr="00962FAF" w:rsidTr="00BE419D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A4136" w:rsidRPr="00962FAF" w:rsidTr="00BE419D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61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13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7B618C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7B618C" w:rsidRDefault="007B618C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A4136" w:rsidRPr="00962FAF" w:rsidTr="00BE419D">
        <w:trPr>
          <w:cantSplit/>
          <w:trHeight w:val="296"/>
        </w:trPr>
        <w:tc>
          <w:tcPr>
            <w:tcW w:w="422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A4136" w:rsidRPr="00962FAF" w:rsidRDefault="00CA4136" w:rsidP="00BE419D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A4136" w:rsidRPr="00962FAF" w:rsidRDefault="00CA4136" w:rsidP="00CA41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4136" w:rsidRPr="00962FAF" w:rsidRDefault="00CA4136" w:rsidP="00CA4136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CA4136" w:rsidRPr="00962FAF" w:rsidRDefault="005D7ADE" w:rsidP="00457413">
      <w:pPr>
        <w:spacing w:after="0"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31.5pt" o:ole="">
            <v:imagedata r:id="rId6" o:title=""/>
          </v:shape>
          <o:OLEObject Type="Embed" ProgID="Equation.3" ShapeID="_x0000_i1025" DrawAspect="Content" ObjectID="_1517392128" r:id="rId7"/>
        </w:object>
      </w:r>
    </w:p>
    <w:p w:rsidR="00CA4136" w:rsidRDefault="00CA4136" w:rsidP="00CA4136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CA4136" w:rsidRPr="00962FAF" w:rsidRDefault="00CA4136" w:rsidP="00FC2D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781" w:rsidRPr="00962FAF" w:rsidRDefault="00507781" w:rsidP="00507781">
      <w:pPr>
        <w:pStyle w:val="a3"/>
        <w:spacing w:after="0" w:line="360" w:lineRule="auto"/>
        <w:ind w:left="79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 Исследование </w:t>
      </w:r>
      <w:r w:rsidRPr="00962FAF">
        <w:rPr>
          <w:rFonts w:ascii="Times New Roman" w:hAnsi="Times New Roman" w:cs="Times New Roman"/>
          <w:sz w:val="28"/>
          <w:szCs w:val="28"/>
        </w:rPr>
        <w:t>рынка сбыта программного продукта</w:t>
      </w:r>
    </w:p>
    <w:p w:rsidR="00507781" w:rsidRPr="00962FAF" w:rsidRDefault="00507781" w:rsidP="00507781">
      <w:pPr>
        <w:spacing w:after="0" w:line="360" w:lineRule="auto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 Сегментация рынка</w:t>
      </w:r>
    </w:p>
    <w:p w:rsidR="00507781" w:rsidRPr="00962FAF" w:rsidRDefault="00507781" w:rsidP="005077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1.2.2</w:t>
      </w:r>
      <w:r w:rsidRPr="00962F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Предпочтительный потребитель программного продукта</w:t>
      </w:r>
    </w:p>
    <w:p w:rsidR="00507781" w:rsidRPr="00A81A9E" w:rsidRDefault="00507781" w:rsidP="00507781">
      <w:pPr>
        <w:pStyle w:val="a3"/>
        <w:numPr>
          <w:ilvl w:val="2"/>
          <w:numId w:val="4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A9E">
        <w:rPr>
          <w:rFonts w:ascii="Times New Roman" w:hAnsi="Times New Roman" w:cs="Times New Roman"/>
          <w:sz w:val="28"/>
          <w:szCs w:val="28"/>
        </w:rPr>
        <w:t>Возможные причины финансовой неудачи</w:t>
      </w:r>
    </w:p>
    <w:p w:rsidR="00507781" w:rsidRPr="007B618C" w:rsidRDefault="00507781" w:rsidP="007B61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618C">
        <w:rPr>
          <w:rFonts w:ascii="Times New Roman" w:hAnsi="Times New Roman" w:cs="Times New Roman"/>
          <w:sz w:val="28"/>
          <w:szCs w:val="28"/>
        </w:rPr>
        <w:t>1.3 Жизненный цикл программного продукта</w:t>
      </w:r>
    </w:p>
    <w:p w:rsidR="00507781" w:rsidRDefault="00507781" w:rsidP="00507781">
      <w:pPr>
        <w:pStyle w:val="1"/>
        <w:spacing w:before="0" w:line="360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2. ОПРЕДЕЛЕНИЕ ЗАТРАТ НА ПРОЕКТИРОВАНИЕ ПРОДУКТА</w:t>
      </w:r>
    </w:p>
    <w:p w:rsidR="00507781" w:rsidRPr="00EB779A" w:rsidRDefault="00507781" w:rsidP="00507781">
      <w:pPr>
        <w:spacing w:after="0"/>
        <w:jc w:val="center"/>
      </w:pPr>
    </w:p>
    <w:p w:rsidR="00507781" w:rsidRPr="00C344DA" w:rsidRDefault="00507781" w:rsidP="00507781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bookmarkStart w:id="0" w:name="_Toc415617440"/>
      <w:bookmarkStart w:id="1" w:name="_Toc415857882"/>
      <w:r w:rsidRPr="00C344DA">
        <w:rPr>
          <w:rFonts w:ascii="Times New Roman" w:hAnsi="Times New Roman"/>
          <w:b w:val="0"/>
          <w:color w:val="auto"/>
          <w:sz w:val="28"/>
          <w:szCs w:val="28"/>
        </w:rPr>
        <w:t xml:space="preserve">2.1 Расчет трудоемкости разработки </w:t>
      </w:r>
      <w:r>
        <w:rPr>
          <w:rFonts w:ascii="Times New Roman" w:hAnsi="Times New Roman"/>
          <w:b w:val="0"/>
          <w:color w:val="auto"/>
          <w:sz w:val="28"/>
          <w:szCs w:val="28"/>
        </w:rPr>
        <w:t>программного продукта</w:t>
      </w:r>
      <w:bookmarkEnd w:id="0"/>
      <w:bookmarkEnd w:id="1"/>
    </w:p>
    <w:p w:rsidR="00507781" w:rsidRDefault="00507781" w:rsidP="0050778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функции:</w:t>
      </w:r>
    </w:p>
    <w:p w:rsidR="00507781" w:rsidRPr="002621EF" w:rsidRDefault="00507781" w:rsidP="00507781">
      <w:pPr>
        <w:pStyle w:val="a4"/>
        <w:ind w:firstLine="708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AE2E77" w:rsidRPr="006655A0" w:rsidTr="007035EC">
        <w:tc>
          <w:tcPr>
            <w:tcW w:w="7083" w:type="dxa"/>
            <w:vAlign w:val="center"/>
          </w:tcPr>
          <w:p w:rsidR="00AE2E77" w:rsidRPr="006655A0" w:rsidRDefault="00AE2E77" w:rsidP="00BE419D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AE2E77" w:rsidRPr="006655A0" w:rsidRDefault="00AE2E77" w:rsidP="00AE2E77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0,335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3,225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генерация рабочих программ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3,72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2,005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1,555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монитор системы (управление работой комплекса ПС ВТ)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4,55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управление внешними устройствами и объектами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2,6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0,225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0,335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1,05</w:t>
            </w:r>
          </w:p>
        </w:tc>
      </w:tr>
      <w:tr w:rsidR="005D7ADE" w:rsidRPr="006655A0" w:rsidTr="007035EC">
        <w:tc>
          <w:tcPr>
            <w:tcW w:w="7083" w:type="dxa"/>
            <w:vAlign w:val="center"/>
          </w:tcPr>
          <w:p w:rsidR="005D7ADE" w:rsidRDefault="005D7A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5D7ADE" w:rsidRDefault="005D7AD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3,225</w:t>
            </w:r>
          </w:p>
        </w:tc>
      </w:tr>
    </w:tbl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Общий объем </w:t>
      </w:r>
      <w:proofErr w:type="gramStart"/>
      <w:r w:rsidRPr="00FD4083">
        <w:rPr>
          <w:b w:val="0"/>
          <w:szCs w:val="24"/>
        </w:rPr>
        <w:t>разрабатываемого</w:t>
      </w:r>
      <w:proofErr w:type="gramEnd"/>
      <w:r w:rsidRPr="00FD4083">
        <w:rPr>
          <w:b w:val="0"/>
          <w:szCs w:val="24"/>
        </w:rPr>
        <w:t xml:space="preserve">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7035EC" w:rsidRPr="006655A0" w:rsidRDefault="00DC6032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Cs w:val="24"/>
            </w:rPr>
            <m:t>=22.515</m:t>
          </m:r>
        </m:oMath>
      </m:oMathPara>
    </w:p>
    <w:p w:rsidR="007035EC" w:rsidRPr="00FD4083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  <w:lang w:val="uk-UA" w:eastAsia="uk-UA"/>
        </w:rPr>
        <w:drawing>
          <wp:inline distT="0" distB="0" distL="0" distR="0" wp14:anchorId="323003C4" wp14:editId="770D3584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4083">
        <w:rPr>
          <w:b w:val="0"/>
          <w:szCs w:val="24"/>
        </w:rPr>
        <w:instrText xml:space="preserve"> </w:instrText>
      </w:r>
      <w:r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r w:rsidRPr="00FD4083">
        <w:rPr>
          <w:b w:val="0"/>
          <w:szCs w:val="24"/>
          <w:lang w:val="en-US"/>
        </w:rPr>
        <w:t>i</w:t>
      </w:r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ой</w:t>
      </w:r>
      <w:proofErr w:type="gramEnd"/>
      <w:r w:rsidRPr="00FD4083">
        <w:rPr>
          <w:b w:val="0"/>
          <w:szCs w:val="24"/>
        </w:rPr>
        <w:t xml:space="preserve"> функции ПП, тыс. УМК;</w:t>
      </w:r>
    </w:p>
    <w:p w:rsidR="007035EC" w:rsidRDefault="007035EC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</w:t>
      </w:r>
      <w:proofErr w:type="gramStart"/>
      <w:r w:rsidRPr="00FD4083">
        <w:rPr>
          <w:b w:val="0"/>
          <w:szCs w:val="24"/>
        </w:rPr>
        <w:t>общее</w:t>
      </w:r>
      <w:proofErr w:type="gramEnd"/>
      <w:r w:rsidRPr="00FD4083">
        <w:rPr>
          <w:b w:val="0"/>
          <w:szCs w:val="24"/>
        </w:rPr>
        <w:t xml:space="preserve"> число функций ПП;</w:t>
      </w:r>
    </w:p>
    <w:p w:rsidR="0022385F" w:rsidRDefault="0022385F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>Все расчеты приведены ниже</w:t>
      </w:r>
      <w:r w:rsidR="00EB6B63">
        <w:rPr>
          <w:b w:val="0"/>
          <w:szCs w:val="24"/>
        </w:rPr>
        <w:t>.</w:t>
      </w:r>
    </w:p>
    <w:p w:rsidR="0022385F" w:rsidRPr="00FD4083" w:rsidRDefault="0022385F" w:rsidP="007035EC">
      <w:pPr>
        <w:pStyle w:val="a5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23BAFCEE" wp14:editId="4A88AA09">
            <wp:extent cx="5057775" cy="42195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8E" w:rsidRPr="00C344DA" w:rsidRDefault="0067448E" w:rsidP="0067448E">
      <w:pPr>
        <w:pStyle w:val="2"/>
        <w:spacing w:before="0"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C344DA">
        <w:rPr>
          <w:rFonts w:ascii="Times New Roman" w:hAnsi="Times New Roman"/>
          <w:b w:val="0"/>
          <w:color w:val="auto"/>
          <w:sz w:val="28"/>
          <w:szCs w:val="28"/>
        </w:rPr>
        <w:t>2.2 Расчет эксплуатационных затрат пользователя</w:t>
      </w:r>
    </w:p>
    <w:p w:rsidR="0067448E" w:rsidRPr="00FD4083" w:rsidRDefault="0067448E" w:rsidP="0067448E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</w:t>
      </w:r>
      <w:r w:rsidRPr="00FD4083">
        <w:rPr>
          <w:rFonts w:ascii="Times New Roman" w:hAnsi="Times New Roman"/>
          <w:sz w:val="28"/>
          <w:szCs w:val="28"/>
        </w:rPr>
        <w:lastRenderedPageBreak/>
        <w:t>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</w:p>
    <w:p w:rsidR="0067448E" w:rsidRPr="002621EF" w:rsidRDefault="0067448E" w:rsidP="0067448E">
      <w:pPr>
        <w:pStyle w:val="a4"/>
        <w:jc w:val="right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67448E" w:rsidRPr="00FD4083" w:rsidTr="00BE419D">
        <w:tc>
          <w:tcPr>
            <w:tcW w:w="351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67448E" w:rsidRPr="00FD4083" w:rsidRDefault="0067448E" w:rsidP="00BE419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</w:rPr>
              <w:t>С</w:t>
            </w:r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27000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>
              <w:rPr>
                <w:sz w:val="28"/>
                <w:szCs w:val="28"/>
              </w:rPr>
              <w:t>кВТ</w:t>
            </w:r>
            <w:proofErr w:type="spellEnd"/>
            <w:r>
              <w:rPr>
                <w:sz w:val="28"/>
                <w:szCs w:val="28"/>
              </w:rPr>
              <w:t>/ч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  <w:lang w:val="en-US"/>
              </w:rPr>
              <w:t>30</w:t>
            </w:r>
            <w:r>
              <w:rPr>
                <w:sz w:val="28"/>
                <w:szCs w:val="28"/>
              </w:rPr>
              <w:t>0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val="en-US"/>
              </w:rPr>
              <w:t>K</w:t>
            </w:r>
            <w:r>
              <w:rPr>
                <w:b/>
                <w:sz w:val="32"/>
                <w:szCs w:val="32"/>
                <w:vertAlign w:val="subscript"/>
              </w:rPr>
              <w:t>и</w:t>
            </w:r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</w:rPr>
              <w:t>0,7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4. Цена 1 кВт/</w:t>
            </w:r>
            <w:proofErr w:type="gramStart"/>
            <w:r>
              <w:rPr>
                <w:sz w:val="28"/>
                <w:szCs w:val="28"/>
              </w:rPr>
              <w:t>ч</w:t>
            </w:r>
            <w:proofErr w:type="gramEnd"/>
            <w:r>
              <w:rPr>
                <w:sz w:val="28"/>
                <w:szCs w:val="28"/>
              </w:rPr>
              <w:t xml:space="preserve"> электроэнергии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Ц</w:t>
            </w:r>
            <w:r>
              <w:rPr>
                <w:b/>
                <w:sz w:val="32"/>
                <w:szCs w:val="32"/>
                <w:vertAlign w:val="subscript"/>
              </w:rPr>
              <w:t>э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1,4 руб.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  <w:lang w:val="en-US"/>
              </w:rPr>
              <w:t>F</w:t>
            </w:r>
            <w:r>
              <w:rPr>
                <w:b/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1974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6. Потери времени на ремонт и профилактику (% от </w:t>
            </w:r>
            <w:proofErr w:type="gramStart"/>
            <w:r>
              <w:rPr>
                <w:b/>
                <w:sz w:val="28"/>
                <w:szCs w:val="28"/>
                <w:lang w:val="en-US"/>
              </w:rPr>
              <w:t>F</w:t>
            </w:r>
            <w:proofErr w:type="gramEnd"/>
            <w:r>
              <w:rPr>
                <w:b/>
                <w:sz w:val="28"/>
                <w:szCs w:val="28"/>
                <w:vertAlign w:val="subscript"/>
              </w:rPr>
              <w:t>ном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П</w:t>
            </w:r>
            <w:r>
              <w:rPr>
                <w:b/>
                <w:sz w:val="32"/>
                <w:szCs w:val="32"/>
                <w:vertAlign w:val="subscript"/>
              </w:rPr>
              <w:t>пот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proofErr w:type="gramStart"/>
            <w:r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r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  <w:vertAlign w:val="subscript"/>
              </w:rPr>
              <w:t>см</w:t>
            </w:r>
          </w:p>
        </w:tc>
        <w:tc>
          <w:tcPr>
            <w:tcW w:w="2268" w:type="dxa"/>
            <w:vAlign w:val="center"/>
          </w:tcPr>
          <w:p w:rsidR="007B618C" w:rsidRDefault="007B618C">
            <w:pPr>
              <w:ind w:firstLine="720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Н</w:t>
            </w:r>
            <w:r>
              <w:rPr>
                <w:b/>
                <w:sz w:val="32"/>
                <w:szCs w:val="32"/>
                <w:vertAlign w:val="subscript"/>
              </w:rPr>
              <w:t>об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ind w:firstLine="720"/>
              <w:rPr>
                <w:sz w:val="28"/>
                <w:szCs w:val="28"/>
                <w:lang w:val="en-US" w:eastAsia="ru-RU"/>
              </w:rPr>
            </w:pP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Н</w:t>
            </w:r>
            <w:r>
              <w:rPr>
                <w:b/>
                <w:sz w:val="32"/>
                <w:szCs w:val="32"/>
                <w:vertAlign w:val="subscript"/>
              </w:rPr>
              <w:t>зд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ind w:firstLine="720"/>
              <w:rPr>
                <w:sz w:val="28"/>
                <w:szCs w:val="28"/>
                <w:lang w:val="en-US" w:eastAsia="ru-RU"/>
              </w:rPr>
            </w:pP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lastRenderedPageBreak/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  <w:vertAlign w:val="subscript"/>
              </w:rPr>
              <w:t>н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34,2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 xml:space="preserve">12. Коэффициент накладных расходов (% </w:t>
            </w:r>
            <w:proofErr w:type="gramStart"/>
            <w:r>
              <w:rPr>
                <w:sz w:val="28"/>
                <w:szCs w:val="28"/>
              </w:rPr>
              <w:t>от</w:t>
            </w:r>
            <w:proofErr w:type="gramEnd"/>
            <w:r>
              <w:rPr>
                <w:sz w:val="28"/>
                <w:szCs w:val="28"/>
              </w:rPr>
              <w:t xml:space="preserve"> ФОТ)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  <w:vertAlign w:val="subscript"/>
              </w:rPr>
              <w:t>нр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7B618C" w:rsidRPr="00FD4083" w:rsidTr="001D2986">
        <w:tc>
          <w:tcPr>
            <w:tcW w:w="3510" w:type="dxa"/>
          </w:tcPr>
          <w:p w:rsidR="007B618C" w:rsidRDefault="007B618C">
            <w:p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7B618C" w:rsidRDefault="007B618C">
            <w:pPr>
              <w:jc w:val="center"/>
              <w:rPr>
                <w:b/>
                <w:sz w:val="32"/>
                <w:szCs w:val="32"/>
                <w:lang w:eastAsia="ru-RU"/>
              </w:rPr>
            </w:pPr>
            <w:proofErr w:type="spellStart"/>
            <w:r>
              <w:rPr>
                <w:b/>
                <w:sz w:val="32"/>
                <w:szCs w:val="32"/>
              </w:rPr>
              <w:t>К</w:t>
            </w:r>
            <w:r>
              <w:rPr>
                <w:b/>
                <w:sz w:val="32"/>
                <w:szCs w:val="32"/>
                <w:vertAlign w:val="subscript"/>
              </w:rPr>
              <w:t>мз</w:t>
            </w:r>
            <w:proofErr w:type="spellEnd"/>
          </w:p>
        </w:tc>
        <w:tc>
          <w:tcPr>
            <w:tcW w:w="2268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%</w:t>
            </w:r>
          </w:p>
        </w:tc>
        <w:tc>
          <w:tcPr>
            <w:tcW w:w="2233" w:type="dxa"/>
            <w:vAlign w:val="center"/>
          </w:tcPr>
          <w:p w:rsidR="007B618C" w:rsidRDefault="007B618C">
            <w:pPr>
              <w:jc w:val="center"/>
              <w:rPr>
                <w:sz w:val="28"/>
                <w:szCs w:val="28"/>
                <w:lang w:val="en-US" w:eastAsia="ru-RU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67448E" w:rsidRPr="00FD4083" w:rsidRDefault="0067448E" w:rsidP="0067448E">
      <w:pPr>
        <w:rPr>
          <w:rFonts w:ascii="Times New Roman" w:hAnsi="Times New Roman" w:cs="Times New Roman"/>
        </w:rPr>
      </w:pPr>
    </w:p>
    <w:p w:rsidR="0067448E" w:rsidRPr="00FD4083" w:rsidRDefault="0067448E" w:rsidP="006744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67448E" w:rsidRPr="00FD4083" w:rsidRDefault="0067448E" w:rsidP="0067448E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5D7ADE" w:rsidRDefault="00231B97" w:rsidP="005D7AD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Pr="00FD4083">
        <w:rPr>
          <w:rFonts w:ascii="Times New Roman" w:hAnsi="Times New Roman"/>
          <w:sz w:val="28"/>
          <w:szCs w:val="28"/>
        </w:rPr>
        <w:tab/>
      </w:r>
    </w:p>
    <w:p w:rsidR="005D7ADE" w:rsidRPr="005D7ADE" w:rsidRDefault="005D7ADE" w:rsidP="005D7ADE">
      <w:pPr>
        <w:pStyle w:val="a4"/>
        <w:ind w:firstLine="0"/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9EB0B0" wp14:editId="45986815">
            <wp:extent cx="5940425" cy="39496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DE" w:rsidRPr="00FD4083" w:rsidRDefault="005D7ADE" w:rsidP="005D7ADE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bookmarkStart w:id="2" w:name="_GoBack"/>
      <w:bookmarkEnd w:id="2"/>
    </w:p>
    <w:sectPr w:rsidR="005D7ADE" w:rsidRPr="00FD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7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E0B66"/>
    <w:rsid w:val="001C1AAD"/>
    <w:rsid w:val="0022385F"/>
    <w:rsid w:val="00231B97"/>
    <w:rsid w:val="00283921"/>
    <w:rsid w:val="00457413"/>
    <w:rsid w:val="00507781"/>
    <w:rsid w:val="005D7ADE"/>
    <w:rsid w:val="00621743"/>
    <w:rsid w:val="00632522"/>
    <w:rsid w:val="0067448E"/>
    <w:rsid w:val="007035EC"/>
    <w:rsid w:val="007B618C"/>
    <w:rsid w:val="0092418C"/>
    <w:rsid w:val="009F1B3C"/>
    <w:rsid w:val="00A8752A"/>
    <w:rsid w:val="00AC02CF"/>
    <w:rsid w:val="00AE2E77"/>
    <w:rsid w:val="00B15BC1"/>
    <w:rsid w:val="00C234C8"/>
    <w:rsid w:val="00C2458D"/>
    <w:rsid w:val="00CA4136"/>
    <w:rsid w:val="00DC6032"/>
    <w:rsid w:val="00EB6B63"/>
    <w:rsid w:val="00FC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522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5">
    <w:name w:val="Title"/>
    <w:basedOn w:val="a"/>
    <w:link w:val="a6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5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3331</Words>
  <Characters>1900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irina</cp:lastModifiedBy>
  <cp:revision>25</cp:revision>
  <dcterms:created xsi:type="dcterms:W3CDTF">2016-02-11T23:12:00Z</dcterms:created>
  <dcterms:modified xsi:type="dcterms:W3CDTF">2016-02-19T10:02:00Z</dcterms:modified>
</cp:coreProperties>
</file>