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B8" w:rsidRDefault="00517FB8" w:rsidP="00517F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17FB8" w:rsidRPr="009360EA" w:rsidRDefault="00517FB8" w:rsidP="00517F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</w:p>
    <w:p w:rsidR="00517FB8" w:rsidRPr="009360EA" w:rsidRDefault="00517FB8" w:rsidP="00517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517FB8" w:rsidRPr="009360EA" w:rsidRDefault="00517FB8" w:rsidP="00517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44153E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1934AF">
      <w:pPr>
        <w:pStyle w:val="a3"/>
        <w:tabs>
          <w:tab w:val="left" w:pos="3544"/>
        </w:tabs>
        <w:ind w:right="-113" w:hanging="142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517FB8" w:rsidRPr="00306070" w:rsidRDefault="00517FB8" w:rsidP="00193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17FB8" w:rsidRPr="00E80BFB" w:rsidRDefault="00517FB8" w:rsidP="001934AF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80BFB">
        <w:rPr>
          <w:rFonts w:ascii="Times New Roman" w:hAnsi="Times New Roman" w:cs="Times New Roman"/>
          <w:sz w:val="28"/>
          <w:szCs w:val="28"/>
        </w:rPr>
        <w:t>«</w:t>
      </w:r>
      <w:r w:rsidR="00E80BFB" w:rsidRPr="00E80BFB">
        <w:rPr>
          <w:rFonts w:ascii="Times New Roman" w:hAnsi="Times New Roman" w:cs="Times New Roman"/>
          <w:bCs/>
          <w:sz w:val="28"/>
          <w:szCs w:val="28"/>
        </w:rPr>
        <w:t>КЛАСТЕРНЫЙ АНАЛИЗ</w:t>
      </w:r>
      <w:r w:rsidRPr="00E80BFB">
        <w:rPr>
          <w:rFonts w:ascii="Times New Roman" w:hAnsi="Times New Roman" w:cs="Times New Roman"/>
          <w:sz w:val="28"/>
          <w:szCs w:val="28"/>
        </w:rPr>
        <w:t>»</w:t>
      </w:r>
    </w:p>
    <w:p w:rsidR="00517FB8" w:rsidRPr="009360EA" w:rsidRDefault="00517FB8" w:rsidP="00517FB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17FB8" w:rsidRPr="009360EA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Default="00517FB8" w:rsidP="00517FB8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517FB8" w:rsidRDefault="00517FB8" w:rsidP="00517FB8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-3</w:t>
      </w:r>
      <w:r w:rsidR="00A44C9A" w:rsidRPr="00A44C9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517FB8" w:rsidRDefault="00A44C9A" w:rsidP="00517FB8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Лисянский А. И.</w:t>
      </w:r>
    </w:p>
    <w:p w:rsidR="00517FB8" w:rsidRPr="009360EA" w:rsidRDefault="00517FB8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17FB8" w:rsidRDefault="00517FB8" w:rsidP="00517FB8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А.И.</w:t>
      </w:r>
    </w:p>
    <w:p w:rsidR="00517FB8" w:rsidRDefault="00517FB8" w:rsidP="00517FB8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Default="00517FB8" w:rsidP="00517FB8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D766C7" w:rsidRDefault="00517FB8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Default="00517FB8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34AF" w:rsidRDefault="001934AF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34AF" w:rsidRPr="00D766C7" w:rsidRDefault="001934AF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Pr="009360EA" w:rsidRDefault="00517FB8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517FB8" w:rsidRDefault="00517FB8" w:rsidP="00517FB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517FB8" w:rsidRPr="009360EA" w:rsidRDefault="00517FB8" w:rsidP="00517F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17FB8" w:rsidRDefault="00517FB8" w:rsidP="00517FB8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7523AA" w:rsidRPr="007523AA" w:rsidRDefault="007523AA" w:rsidP="007523AA">
      <w:pPr>
        <w:pStyle w:val="a3"/>
        <w:ind w:firstLine="567"/>
        <w:rPr>
          <w:szCs w:val="28"/>
          <w:lang w:val="ru-RU"/>
        </w:rPr>
      </w:pPr>
      <w:r w:rsidRPr="007523AA">
        <w:rPr>
          <w:szCs w:val="28"/>
          <w:lang w:val="ru-RU"/>
        </w:rPr>
        <w:t>Закрепить теоретические знания и приобрести практические навыки в проведении кластерного анализа по экспериментальным данным.</w:t>
      </w:r>
    </w:p>
    <w:p w:rsidR="007523AA" w:rsidRDefault="007523AA" w:rsidP="007523AA">
      <w:pPr>
        <w:pStyle w:val="a3"/>
        <w:ind w:firstLine="567"/>
        <w:rPr>
          <w:szCs w:val="28"/>
          <w:lang w:val="ru-RU"/>
        </w:rPr>
      </w:pPr>
      <w:r w:rsidRPr="007523AA">
        <w:rPr>
          <w:szCs w:val="28"/>
          <w:lang w:val="ru-RU"/>
        </w:rPr>
        <w:t xml:space="preserve">По результатам наблюдений за функционированием объектов получены экспериментальные данные. </w:t>
      </w:r>
      <w:r w:rsidRPr="001934AF">
        <w:rPr>
          <w:szCs w:val="28"/>
          <w:lang w:val="ru-RU"/>
        </w:rPr>
        <w:t>Требуется провести кластерный анализ этих данных.</w:t>
      </w:r>
    </w:p>
    <w:p w:rsidR="000403F8" w:rsidRDefault="000403F8" w:rsidP="007523AA">
      <w:pPr>
        <w:pStyle w:val="a3"/>
        <w:ind w:firstLine="567"/>
        <w:rPr>
          <w:szCs w:val="28"/>
          <w:lang w:val="ru-RU"/>
        </w:rPr>
      </w:pPr>
    </w:p>
    <w:p w:rsidR="00871266" w:rsidRDefault="00871266" w:rsidP="00871266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t>.Ход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0"/>
        <w:gridCol w:w="1715"/>
        <w:gridCol w:w="1370"/>
        <w:gridCol w:w="1459"/>
        <w:gridCol w:w="1352"/>
        <w:gridCol w:w="1329"/>
      </w:tblGrid>
      <w:tr w:rsidR="000403F8" w:rsidTr="0005459B">
        <w:tc>
          <w:tcPr>
            <w:tcW w:w="2330" w:type="dxa"/>
          </w:tcPr>
          <w:p w:rsidR="000403F8" w:rsidRDefault="000403F8" w:rsidP="0005459B">
            <w:r>
              <w:t>Название монеты</w:t>
            </w:r>
          </w:p>
        </w:tc>
        <w:tc>
          <w:tcPr>
            <w:tcW w:w="1715" w:type="dxa"/>
          </w:tcPr>
          <w:p w:rsidR="000403F8" w:rsidRDefault="000403F8" w:rsidP="0005459B">
            <w:r>
              <w:t>Год выпуска</w:t>
            </w:r>
          </w:p>
        </w:tc>
        <w:tc>
          <w:tcPr>
            <w:tcW w:w="1370" w:type="dxa"/>
          </w:tcPr>
          <w:p w:rsidR="000403F8" w:rsidRDefault="000403F8" w:rsidP="0005459B">
            <w:r>
              <w:t>Номинал, грн</w:t>
            </w:r>
          </w:p>
        </w:tc>
        <w:tc>
          <w:tcPr>
            <w:tcW w:w="1459" w:type="dxa"/>
          </w:tcPr>
          <w:p w:rsidR="000403F8" w:rsidRDefault="000403F8" w:rsidP="0005459B">
            <w:r>
              <w:t>Диаметр, мм</w:t>
            </w:r>
          </w:p>
        </w:tc>
        <w:tc>
          <w:tcPr>
            <w:tcW w:w="1352" w:type="dxa"/>
          </w:tcPr>
          <w:p w:rsidR="000403F8" w:rsidRDefault="000403F8" w:rsidP="0005459B">
            <w:r>
              <w:t>Вес, г</w:t>
            </w:r>
          </w:p>
        </w:tc>
        <w:tc>
          <w:tcPr>
            <w:tcW w:w="1329" w:type="dxa"/>
          </w:tcPr>
          <w:p w:rsidR="000403F8" w:rsidRDefault="000403F8" w:rsidP="0005459B">
            <w:r>
              <w:t>Тираж, шт.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8E0673">
              <w:t>Рождество Христово</w:t>
            </w:r>
          </w:p>
        </w:tc>
        <w:tc>
          <w:tcPr>
            <w:tcW w:w="1715" w:type="dxa"/>
            <w:vAlign w:val="center"/>
          </w:tcPr>
          <w:p w:rsidR="000403F8" w:rsidRPr="008E0673" w:rsidRDefault="000403F8" w:rsidP="0005459B">
            <w:r>
              <w:t>1999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r>
              <w:t>5</w:t>
            </w:r>
          </w:p>
        </w:tc>
        <w:tc>
          <w:tcPr>
            <w:tcW w:w="1459" w:type="dxa"/>
            <w:vAlign w:val="center"/>
          </w:tcPr>
          <w:p w:rsidR="000403F8" w:rsidRDefault="000403F8" w:rsidP="0005459B">
            <w:r>
              <w:t>35,00</w:t>
            </w:r>
          </w:p>
        </w:tc>
        <w:tc>
          <w:tcPr>
            <w:tcW w:w="1352" w:type="dxa"/>
            <w:vAlign w:val="center"/>
          </w:tcPr>
          <w:p w:rsidR="000403F8" w:rsidRDefault="000403F8" w:rsidP="0005459B">
            <w:r w:rsidRPr="00956581">
              <w:t>16,54</w:t>
            </w:r>
          </w:p>
        </w:tc>
        <w:tc>
          <w:tcPr>
            <w:tcW w:w="1329" w:type="dxa"/>
            <w:vAlign w:val="center"/>
          </w:tcPr>
          <w:p w:rsidR="000403F8" w:rsidRPr="00956581" w:rsidRDefault="000403F8" w:rsidP="0005459B">
            <w:r>
              <w:t>100000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8E0673">
              <w:t>Крещение Руси</w:t>
            </w:r>
          </w:p>
        </w:tc>
        <w:tc>
          <w:tcPr>
            <w:tcW w:w="1715" w:type="dxa"/>
            <w:vAlign w:val="center"/>
          </w:tcPr>
          <w:p w:rsidR="000403F8" w:rsidRPr="008E0673" w:rsidRDefault="000403F8" w:rsidP="0005459B">
            <w:r>
              <w:t>2000</w:t>
            </w:r>
          </w:p>
        </w:tc>
        <w:tc>
          <w:tcPr>
            <w:tcW w:w="1370" w:type="dxa"/>
            <w:vAlign w:val="center"/>
          </w:tcPr>
          <w:p w:rsidR="000403F8" w:rsidRDefault="000403F8" w:rsidP="0005459B">
            <w:r>
              <w:t>5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r>
              <w:t>35,00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r>
              <w:t>16,54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>
              <w:t>100000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8E0673">
              <w:t>10-летие Вооруженных Сил Украины</w:t>
            </w:r>
          </w:p>
        </w:tc>
        <w:tc>
          <w:tcPr>
            <w:tcW w:w="1715" w:type="dxa"/>
            <w:vAlign w:val="center"/>
          </w:tcPr>
          <w:p w:rsidR="000403F8" w:rsidRPr="008E0673" w:rsidRDefault="000403F8" w:rsidP="0005459B">
            <w:r>
              <w:t>2001</w:t>
            </w:r>
          </w:p>
        </w:tc>
        <w:tc>
          <w:tcPr>
            <w:tcW w:w="1370" w:type="dxa"/>
            <w:vAlign w:val="center"/>
          </w:tcPr>
          <w:p w:rsidR="000403F8" w:rsidRDefault="000403F8" w:rsidP="0005459B">
            <w:r>
              <w:t>5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r>
              <w:t>28,00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r>
              <w:t>9,40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>
              <w:t>50000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8E0673">
              <w:t>300-летие Конституции Филиппа Орлика</w:t>
            </w:r>
          </w:p>
          <w:p w:rsidR="000403F8" w:rsidRPr="008E0673" w:rsidRDefault="000403F8" w:rsidP="0005459B"/>
        </w:tc>
        <w:tc>
          <w:tcPr>
            <w:tcW w:w="1715" w:type="dxa"/>
            <w:vAlign w:val="center"/>
          </w:tcPr>
          <w:p w:rsidR="000403F8" w:rsidRPr="008E0673" w:rsidRDefault="000403F8" w:rsidP="0005459B">
            <w:r>
              <w:t>2010</w:t>
            </w:r>
          </w:p>
        </w:tc>
        <w:tc>
          <w:tcPr>
            <w:tcW w:w="1370" w:type="dxa"/>
            <w:vAlign w:val="center"/>
          </w:tcPr>
          <w:p w:rsidR="000403F8" w:rsidRPr="00DC0169" w:rsidRDefault="000403F8" w:rsidP="0005459B">
            <w:r>
              <w:t>10</w:t>
            </w:r>
          </w:p>
        </w:tc>
        <w:tc>
          <w:tcPr>
            <w:tcW w:w="1459" w:type="dxa"/>
            <w:vAlign w:val="center"/>
          </w:tcPr>
          <w:p w:rsidR="000403F8" w:rsidRPr="00DC0169" w:rsidRDefault="000403F8" w:rsidP="0005459B">
            <w:r>
              <w:t>38,60</w:t>
            </w:r>
          </w:p>
        </w:tc>
        <w:tc>
          <w:tcPr>
            <w:tcW w:w="1352" w:type="dxa"/>
            <w:vAlign w:val="center"/>
          </w:tcPr>
          <w:p w:rsidR="000403F8" w:rsidRPr="00DC0169" w:rsidRDefault="000403F8" w:rsidP="0005459B">
            <w:r>
              <w:t>31,10</w:t>
            </w:r>
          </w:p>
        </w:tc>
        <w:tc>
          <w:tcPr>
            <w:tcW w:w="1329" w:type="dxa"/>
            <w:vAlign w:val="center"/>
          </w:tcPr>
          <w:p w:rsidR="000403F8" w:rsidRPr="00DC0169" w:rsidRDefault="000403F8" w:rsidP="0005459B">
            <w:r>
              <w:t>7000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402928">
              <w:t>5 лет Конституции Украины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r>
              <w:t>2001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r>
              <w:t>2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r>
              <w:t>31,00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r>
              <w:t>12,80</w:t>
            </w:r>
          </w:p>
        </w:tc>
        <w:tc>
          <w:tcPr>
            <w:tcW w:w="1329" w:type="dxa"/>
            <w:vAlign w:val="center"/>
          </w:tcPr>
          <w:p w:rsidR="000403F8" w:rsidRPr="00DC0169" w:rsidRDefault="000403F8" w:rsidP="0005459B">
            <w:r w:rsidRPr="00956581">
              <w:t>30000</w:t>
            </w:r>
          </w:p>
        </w:tc>
      </w:tr>
      <w:tr w:rsidR="000403F8" w:rsidTr="0005459B">
        <w:tc>
          <w:tcPr>
            <w:tcW w:w="2330" w:type="dxa"/>
          </w:tcPr>
          <w:p w:rsidR="000403F8" w:rsidRPr="00402928" w:rsidRDefault="000403F8" w:rsidP="0005459B">
            <w:r w:rsidRPr="00402928">
              <w:t>Независимость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r>
              <w:t>1996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r w:rsidRPr="00956581">
              <w:t>2000000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r>
              <w:t>39,00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r>
              <w:t>31,10</w:t>
            </w:r>
          </w:p>
        </w:tc>
        <w:tc>
          <w:tcPr>
            <w:tcW w:w="1329" w:type="dxa"/>
            <w:vAlign w:val="center"/>
          </w:tcPr>
          <w:p w:rsidR="000403F8" w:rsidRPr="00DC0169" w:rsidRDefault="000403F8" w:rsidP="0005459B">
            <w:r w:rsidRPr="00956581">
              <w:t>10000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402928">
              <w:t>Государственный Гимн Украины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r>
              <w:t>2005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r w:rsidRPr="001E369B">
              <w:t>10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r>
              <w:t>38,61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r>
              <w:t>31,10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1E369B">
              <w:t>3000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402928">
              <w:t>Богдан Хмельницкий</w:t>
            </w:r>
          </w:p>
        </w:tc>
        <w:tc>
          <w:tcPr>
            <w:tcW w:w="1715" w:type="dxa"/>
            <w:vAlign w:val="center"/>
          </w:tcPr>
          <w:p w:rsidR="000403F8" w:rsidRPr="001E369B" w:rsidRDefault="000403F8" w:rsidP="0005459B">
            <w:r>
              <w:t>1995</w:t>
            </w:r>
          </w:p>
        </w:tc>
        <w:tc>
          <w:tcPr>
            <w:tcW w:w="1370" w:type="dxa"/>
            <w:vAlign w:val="center"/>
          </w:tcPr>
          <w:p w:rsidR="000403F8" w:rsidRPr="001E369B" w:rsidRDefault="000403F8" w:rsidP="0005459B">
            <w:r w:rsidRPr="009E02EE"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0403F8" w:rsidRPr="001E369B" w:rsidRDefault="000403F8" w:rsidP="0005459B">
            <w:r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0403F8" w:rsidRPr="001E369B" w:rsidRDefault="000403F8" w:rsidP="0005459B">
            <w:r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9E02EE">
              <w:rPr>
                <w:color w:val="000000"/>
              </w:rPr>
              <w:t>250000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402928">
              <w:t>Юрий Кондратюк</w:t>
            </w:r>
          </w:p>
        </w:tc>
        <w:tc>
          <w:tcPr>
            <w:tcW w:w="1715" w:type="dxa"/>
            <w:vAlign w:val="center"/>
          </w:tcPr>
          <w:p w:rsidR="000403F8" w:rsidRPr="009E02EE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1997</w:t>
            </w:r>
          </w:p>
        </w:tc>
        <w:tc>
          <w:tcPr>
            <w:tcW w:w="1370" w:type="dxa"/>
            <w:vAlign w:val="center"/>
          </w:tcPr>
          <w:p w:rsidR="000403F8" w:rsidRPr="009E02EE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59" w:type="dxa"/>
            <w:vAlign w:val="center"/>
          </w:tcPr>
          <w:p w:rsidR="000403F8" w:rsidRPr="009E02EE" w:rsidRDefault="000403F8" w:rsidP="0005459B">
            <w:pPr>
              <w:rPr>
                <w:color w:val="000000"/>
              </w:rPr>
            </w:pPr>
            <w:r w:rsidRPr="001D16EB"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0403F8" w:rsidRPr="009E02EE" w:rsidRDefault="000403F8" w:rsidP="0005459B">
            <w:pPr>
              <w:rPr>
                <w:color w:val="000000"/>
              </w:rPr>
            </w:pPr>
            <w:r w:rsidRPr="001D16EB"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1D16EB">
              <w:rPr>
                <w:color w:val="000000"/>
              </w:rPr>
              <w:t>20000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402928">
              <w:t>Небесная сотня</w:t>
            </w:r>
          </w:p>
        </w:tc>
        <w:tc>
          <w:tcPr>
            <w:tcW w:w="1715" w:type="dxa"/>
            <w:vAlign w:val="center"/>
          </w:tcPr>
          <w:p w:rsidR="000403F8" w:rsidRPr="001D16EB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370" w:type="dxa"/>
            <w:vAlign w:val="center"/>
          </w:tcPr>
          <w:p w:rsidR="000403F8" w:rsidRPr="001D16EB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0403F8" w:rsidRPr="001D16EB" w:rsidRDefault="000403F8" w:rsidP="0005459B">
            <w:pPr>
              <w:rPr>
                <w:color w:val="000000"/>
              </w:rPr>
            </w:pPr>
            <w:r w:rsidRPr="008D03A3">
              <w:rPr>
                <w:color w:val="000000"/>
              </w:rPr>
              <w:t>35,00</w:t>
            </w:r>
          </w:p>
        </w:tc>
        <w:tc>
          <w:tcPr>
            <w:tcW w:w="1352" w:type="dxa"/>
            <w:vAlign w:val="center"/>
          </w:tcPr>
          <w:p w:rsidR="000403F8" w:rsidRPr="001D16EB" w:rsidRDefault="000403F8" w:rsidP="0005459B">
            <w:pPr>
              <w:rPr>
                <w:color w:val="000000"/>
              </w:rPr>
            </w:pPr>
            <w:r w:rsidRPr="008D03A3">
              <w:rPr>
                <w:color w:val="000000"/>
              </w:rPr>
              <w:t>16,54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8D03A3">
              <w:rPr>
                <w:color w:val="000000"/>
              </w:rPr>
              <w:t>50000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CD782D">
              <w:t>Город-герой Севастополь</w:t>
            </w:r>
          </w:p>
        </w:tc>
        <w:tc>
          <w:tcPr>
            <w:tcW w:w="1715" w:type="dxa"/>
            <w:vAlign w:val="center"/>
          </w:tcPr>
          <w:p w:rsidR="000403F8" w:rsidRPr="008D03A3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1370" w:type="dxa"/>
            <w:vAlign w:val="center"/>
          </w:tcPr>
          <w:p w:rsidR="000403F8" w:rsidRPr="008D03A3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0403F8" w:rsidRPr="008D03A3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33,00</w:t>
            </w:r>
          </w:p>
        </w:tc>
        <w:tc>
          <w:tcPr>
            <w:tcW w:w="1352" w:type="dxa"/>
            <w:vAlign w:val="center"/>
          </w:tcPr>
          <w:p w:rsidR="000403F8" w:rsidRPr="008D03A3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14,35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956581">
              <w:rPr>
                <w:color w:val="000000"/>
              </w:rPr>
              <w:t>75000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CD782D">
              <w:t>Бандура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28,00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9,40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956581">
              <w:rPr>
                <w:color w:val="000000"/>
              </w:rPr>
              <w:t>30 000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CD782D">
              <w:t>Гончар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35,00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16,50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956581">
              <w:rPr>
                <w:color w:val="000000"/>
              </w:rPr>
              <w:t>45000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CD782D">
              <w:t>50-летие Организации Объединенных Наций (ООН)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200000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38,61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28,28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>
              <w:rPr>
                <w:color w:val="000000"/>
              </w:rPr>
              <w:t>100000</w:t>
            </w:r>
          </w:p>
        </w:tc>
      </w:tr>
      <w:tr w:rsidR="000403F8" w:rsidTr="0005459B">
        <w:tc>
          <w:tcPr>
            <w:tcW w:w="2330" w:type="dxa"/>
          </w:tcPr>
          <w:p w:rsidR="000403F8" w:rsidRPr="008E0673" w:rsidRDefault="000403F8" w:rsidP="0005459B">
            <w:r w:rsidRPr="008750C4">
              <w:t>Героическая оборона Севастополя 1854–1856 годов</w:t>
            </w:r>
          </w:p>
        </w:tc>
        <w:tc>
          <w:tcPr>
            <w:tcW w:w="1715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370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10</w:t>
            </w:r>
          </w:p>
        </w:tc>
        <w:tc>
          <w:tcPr>
            <w:tcW w:w="1459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38,61</w:t>
            </w:r>
          </w:p>
        </w:tc>
        <w:tc>
          <w:tcPr>
            <w:tcW w:w="1352" w:type="dxa"/>
            <w:vAlign w:val="center"/>
          </w:tcPr>
          <w:p w:rsidR="000403F8" w:rsidRPr="00956581" w:rsidRDefault="000403F8" w:rsidP="0005459B">
            <w:pPr>
              <w:rPr>
                <w:color w:val="000000"/>
              </w:rPr>
            </w:pPr>
            <w:r w:rsidRPr="00956581">
              <w:rPr>
                <w:color w:val="000000"/>
              </w:rPr>
              <w:t>31,10</w:t>
            </w:r>
          </w:p>
        </w:tc>
        <w:tc>
          <w:tcPr>
            <w:tcW w:w="1329" w:type="dxa"/>
            <w:vAlign w:val="center"/>
          </w:tcPr>
          <w:p w:rsidR="000403F8" w:rsidRDefault="000403F8" w:rsidP="0005459B">
            <w:r w:rsidRPr="00956581">
              <w:rPr>
                <w:color w:val="000000"/>
              </w:rPr>
              <w:t>8000</w:t>
            </w:r>
          </w:p>
        </w:tc>
      </w:tr>
    </w:tbl>
    <w:p w:rsidR="000403F8" w:rsidRDefault="000403F8" w:rsidP="001934AF">
      <w:pPr>
        <w:spacing w:line="312" w:lineRule="auto"/>
        <w:ind w:right="30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34AF" w:rsidRDefault="001934AF" w:rsidP="001934AF">
      <w:pPr>
        <w:spacing w:line="312" w:lineRule="auto"/>
        <w:ind w:right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34AF">
        <w:rPr>
          <w:rFonts w:ascii="Times New Roman" w:eastAsia="Times New Roman" w:hAnsi="Times New Roman" w:cs="Times New Roman"/>
          <w:sz w:val="28"/>
          <w:szCs w:val="28"/>
        </w:rPr>
        <w:t xml:space="preserve">Таблица 1 </w:t>
      </w:r>
      <w:r w:rsidR="000403F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403F8" w:rsidRPr="00040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3F8">
        <w:rPr>
          <w:rFonts w:ascii="Times New Roman" w:eastAsia="Times New Roman" w:hAnsi="Times New Roman" w:cs="Times New Roman"/>
          <w:sz w:val="28"/>
          <w:szCs w:val="28"/>
        </w:rPr>
        <w:t>значение характеристик юбилейных монет Украины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0BB" w:rsidRDefault="000403F8" w:rsidP="00F83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DB0726" wp14:editId="76E38FE0">
            <wp:extent cx="4943475" cy="328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AD" w:rsidRDefault="00C216AD" w:rsidP="00C216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16A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403F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C216AD">
        <w:rPr>
          <w:rFonts w:ascii="Times New Roman" w:eastAsia="Times New Roman" w:hAnsi="Times New Roman" w:cs="Times New Roman"/>
          <w:sz w:val="28"/>
          <w:szCs w:val="28"/>
        </w:rPr>
        <w:t>- Окно, содержащее результаты кластерного анализа "Joining Results" .</w:t>
      </w:r>
    </w:p>
    <w:p w:rsidR="00994DA8" w:rsidRPr="00C216AD" w:rsidRDefault="008B08AC" w:rsidP="00C216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D975C47" wp14:editId="5FA26AB7">
            <wp:extent cx="41338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A8" w:rsidRDefault="000403F8" w:rsidP="000403F8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94DA8" w:rsidRPr="00994DA8">
        <w:rPr>
          <w:sz w:val="28"/>
          <w:szCs w:val="28"/>
        </w:rPr>
        <w:t xml:space="preserve"> - Vertical icicle plot</w:t>
      </w:r>
    </w:p>
    <w:p w:rsidR="000403F8" w:rsidRDefault="000403F8" w:rsidP="000403F8">
      <w:pPr>
        <w:pStyle w:val="a8"/>
        <w:jc w:val="center"/>
        <w:rPr>
          <w:sz w:val="28"/>
          <w:szCs w:val="28"/>
        </w:rPr>
      </w:pPr>
    </w:p>
    <w:p w:rsidR="000403F8" w:rsidRDefault="000403F8" w:rsidP="000403F8">
      <w:pPr>
        <w:pStyle w:val="a8"/>
        <w:jc w:val="center"/>
        <w:rPr>
          <w:sz w:val="28"/>
          <w:szCs w:val="28"/>
        </w:rPr>
      </w:pPr>
    </w:p>
    <w:p w:rsidR="00C216AD" w:rsidRDefault="000403F8" w:rsidP="00F83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79D5B5" wp14:editId="21084B29">
            <wp:extent cx="4343400" cy="1428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2F" w:rsidRDefault="0023112F" w:rsidP="000403F8">
      <w:pPr>
        <w:pStyle w:val="a8"/>
        <w:jc w:val="center"/>
        <w:rPr>
          <w:sz w:val="28"/>
          <w:szCs w:val="28"/>
        </w:rPr>
      </w:pPr>
      <w:r w:rsidRPr="0023112F">
        <w:rPr>
          <w:sz w:val="28"/>
          <w:szCs w:val="28"/>
        </w:rPr>
        <w:t xml:space="preserve">Рисунок </w:t>
      </w:r>
      <w:r w:rsidR="000403F8">
        <w:rPr>
          <w:sz w:val="28"/>
          <w:szCs w:val="28"/>
        </w:rPr>
        <w:t>3</w:t>
      </w:r>
      <w:r w:rsidRPr="0023112F">
        <w:rPr>
          <w:sz w:val="28"/>
          <w:szCs w:val="28"/>
        </w:rPr>
        <w:t xml:space="preserve"> -Щелчком мыши раскроем строку Amalgamation schedule, содержащую протокол объединения кластеров. </w:t>
      </w:r>
    </w:p>
    <w:p w:rsidR="0023112F" w:rsidRDefault="0023112F" w:rsidP="0023112F">
      <w:pPr>
        <w:pStyle w:val="a8"/>
        <w:ind w:left="720"/>
        <w:jc w:val="center"/>
        <w:rPr>
          <w:sz w:val="28"/>
          <w:szCs w:val="28"/>
        </w:rPr>
      </w:pPr>
    </w:p>
    <w:p w:rsidR="0023112F" w:rsidRDefault="0023112F" w:rsidP="0023112F">
      <w:pPr>
        <w:pStyle w:val="a8"/>
        <w:ind w:left="720"/>
        <w:jc w:val="center"/>
        <w:rPr>
          <w:sz w:val="28"/>
          <w:szCs w:val="28"/>
        </w:rPr>
      </w:pPr>
    </w:p>
    <w:p w:rsidR="0023112F" w:rsidRDefault="0023112F" w:rsidP="0023112F">
      <w:pPr>
        <w:pStyle w:val="a8"/>
        <w:ind w:left="720"/>
        <w:jc w:val="center"/>
        <w:rPr>
          <w:sz w:val="28"/>
          <w:szCs w:val="28"/>
        </w:rPr>
      </w:pPr>
    </w:p>
    <w:p w:rsidR="0023112F" w:rsidRPr="0023112F" w:rsidRDefault="000403F8" w:rsidP="0023112F">
      <w:pPr>
        <w:pStyle w:val="a8"/>
        <w:ind w:left="720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6ECB0DB" wp14:editId="38C59B55">
            <wp:extent cx="4162425" cy="3086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2F" w:rsidRDefault="000403F8" w:rsidP="000403F8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</w:t>
      </w:r>
      <w:r w:rsidR="0023112F" w:rsidRPr="0023112F">
        <w:rPr>
          <w:sz w:val="28"/>
          <w:szCs w:val="28"/>
        </w:rPr>
        <w:t xml:space="preserve"> </w:t>
      </w:r>
      <w:r>
        <w:rPr>
          <w:sz w:val="28"/>
          <w:szCs w:val="28"/>
        </w:rPr>
        <w:t>Граф расстояний при объединении кластеров</w:t>
      </w:r>
    </w:p>
    <w:p w:rsidR="0023112F" w:rsidRDefault="000403F8" w:rsidP="0023112F">
      <w:pPr>
        <w:pStyle w:val="a8"/>
        <w:ind w:firstLine="720"/>
        <w:jc w:val="both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3AE539E" wp14:editId="31CAC4CB">
            <wp:extent cx="4724400" cy="112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A5" w:rsidRDefault="000403F8" w:rsidP="000403F8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="008014A5">
        <w:rPr>
          <w:sz w:val="28"/>
          <w:szCs w:val="28"/>
        </w:rPr>
        <w:t>-</w:t>
      </w:r>
      <w:r w:rsidR="008014A5" w:rsidRPr="008014A5">
        <w:rPr>
          <w:sz w:val="28"/>
          <w:szCs w:val="28"/>
        </w:rPr>
        <w:t xml:space="preserve"> Матрица расстояний.</w:t>
      </w:r>
    </w:p>
    <w:p w:rsidR="000403F8" w:rsidRDefault="000403F8" w:rsidP="000403F8">
      <w:pPr>
        <w:pStyle w:val="a8"/>
        <w:jc w:val="center"/>
        <w:rPr>
          <w:sz w:val="28"/>
          <w:szCs w:val="28"/>
        </w:rPr>
      </w:pPr>
    </w:p>
    <w:p w:rsidR="000403F8" w:rsidRDefault="000403F8" w:rsidP="000403F8">
      <w:pPr>
        <w:pStyle w:val="a8"/>
        <w:jc w:val="center"/>
        <w:rPr>
          <w:sz w:val="28"/>
          <w:szCs w:val="28"/>
        </w:rPr>
      </w:pPr>
    </w:p>
    <w:p w:rsidR="000403F8" w:rsidRDefault="000403F8" w:rsidP="000403F8">
      <w:pPr>
        <w:pStyle w:val="a8"/>
        <w:jc w:val="center"/>
        <w:rPr>
          <w:sz w:val="28"/>
          <w:szCs w:val="28"/>
        </w:rPr>
      </w:pPr>
    </w:p>
    <w:p w:rsidR="00350C98" w:rsidRDefault="00350C98" w:rsidP="00350C98">
      <w:pPr>
        <w:pStyle w:val="a8"/>
        <w:jc w:val="center"/>
        <w:rPr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lastRenderedPageBreak/>
        <w:t>K - means clustering</w:t>
      </w:r>
      <w:r>
        <w:rPr>
          <w:sz w:val="27"/>
          <w:szCs w:val="27"/>
          <w:lang w:val="en-US"/>
        </w:rPr>
        <w:t xml:space="preserve"> (</w:t>
      </w:r>
      <w:r>
        <w:rPr>
          <w:i/>
          <w:iCs/>
          <w:sz w:val="27"/>
          <w:szCs w:val="27"/>
        </w:rPr>
        <w:t>метод</w:t>
      </w:r>
      <w:r>
        <w:rPr>
          <w:i/>
          <w:iCs/>
          <w:sz w:val="27"/>
          <w:szCs w:val="27"/>
          <w:lang w:val="en-US"/>
        </w:rPr>
        <w:t xml:space="preserve"> </w:t>
      </w:r>
      <w:r>
        <w:rPr>
          <w:i/>
          <w:iCs/>
          <w:sz w:val="27"/>
          <w:szCs w:val="27"/>
        </w:rPr>
        <w:t>К</w:t>
      </w:r>
      <w:r>
        <w:rPr>
          <w:i/>
          <w:iCs/>
          <w:sz w:val="27"/>
          <w:szCs w:val="27"/>
          <w:lang w:val="en-US"/>
        </w:rPr>
        <w:t xml:space="preserve"> </w:t>
      </w:r>
      <w:r>
        <w:rPr>
          <w:i/>
          <w:iCs/>
          <w:sz w:val="27"/>
          <w:szCs w:val="27"/>
        </w:rPr>
        <w:t>средних</w:t>
      </w:r>
      <w:r>
        <w:rPr>
          <w:sz w:val="27"/>
          <w:szCs w:val="27"/>
          <w:lang w:val="en-US"/>
        </w:rPr>
        <w:t>).</w:t>
      </w:r>
    </w:p>
    <w:p w:rsidR="00350C98" w:rsidRDefault="00350C98" w:rsidP="00350C98">
      <w:pPr>
        <w:pStyle w:val="a8"/>
      </w:pPr>
      <w:r w:rsidRPr="000403F8">
        <w:rPr>
          <w:sz w:val="28"/>
        </w:rPr>
        <w:t>Суть этого метода состоит в следующем: исследователь заранее определяет количество классов (k) на которые необходимо разбить имеющиеся наблюдения, и первые k - наблюдений становятся центрами этих классов. Для каждого следующего наблюдения рассчитываются расстояния до центров кластеров и данное наблюдение относится к тому кластеру, расстояние до которого было минимальным. После чего для этого кластера (в котором увеличилось количество наблюдений) рассчитывается новый центр тяжести ( как среднее по каждому показателю) по всем включенным в кластер наблюдениям.</w:t>
      </w:r>
    </w:p>
    <w:p w:rsidR="00350C98" w:rsidRPr="008014A5" w:rsidRDefault="000403F8" w:rsidP="00350C98">
      <w:pPr>
        <w:pStyle w:val="a8"/>
        <w:ind w:firstLine="720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2767778" wp14:editId="640D03AE">
            <wp:extent cx="3619500" cy="3305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98" w:rsidRPr="000403F8" w:rsidRDefault="000403F8" w:rsidP="00350C98">
      <w:pPr>
        <w:pStyle w:val="a8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0403F8">
        <w:rPr>
          <w:sz w:val="28"/>
          <w:szCs w:val="28"/>
          <w:lang w:val="en-US"/>
        </w:rPr>
        <w:t xml:space="preserve"> 6 - K-</w:t>
      </w:r>
      <w:r w:rsidR="00350C98" w:rsidRPr="000403F8">
        <w:rPr>
          <w:sz w:val="28"/>
          <w:szCs w:val="28"/>
          <w:lang w:val="en-US"/>
        </w:rPr>
        <w:t>Means Clustering Results</w:t>
      </w:r>
    </w:p>
    <w:p w:rsidR="00350C98" w:rsidRDefault="00350C98" w:rsidP="00350C98">
      <w:pPr>
        <w:pStyle w:val="a8"/>
        <w:jc w:val="center"/>
        <w:rPr>
          <w:b/>
          <w:bCs/>
        </w:rPr>
      </w:pPr>
      <w:r>
        <w:rPr>
          <w:b/>
          <w:bCs/>
        </w:rPr>
        <w:t>Вывод результатов и их анализ</w:t>
      </w:r>
    </w:p>
    <w:p w:rsidR="00350C98" w:rsidRPr="007A1D7F" w:rsidRDefault="00350C98" w:rsidP="00350C98">
      <w:pPr>
        <w:pStyle w:val="a8"/>
        <w:rPr>
          <w:sz w:val="32"/>
        </w:rPr>
      </w:pPr>
      <w:r w:rsidRPr="007A1D7F">
        <w:rPr>
          <w:sz w:val="32"/>
        </w:rPr>
        <w:t>В верхней части окна (в том же порядке, как они идут на экране):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Количество переменных; 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Количество наблюдений; 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Классификация наблюдений (или переменных, зависит от установки в предыдущем окне в строке </w:t>
      </w:r>
      <w:r w:rsidRPr="007A1D7F">
        <w:rPr>
          <w:rFonts w:ascii="Times New Roman" w:hAnsi="Times New Roman" w:cs="Times New Roman"/>
          <w:b/>
          <w:bCs/>
          <w:sz w:val="28"/>
        </w:rPr>
        <w:t>Cluster</w:t>
      </w:r>
      <w:r w:rsidRPr="007A1D7F">
        <w:rPr>
          <w:rFonts w:ascii="Times New Roman" w:hAnsi="Times New Roman" w:cs="Times New Roman"/>
          <w:sz w:val="28"/>
        </w:rPr>
        <w:t xml:space="preserve">) методом K - средних; 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Наблюдения с пропущенными данными удаляются (или: изменяются средними значениями. Зависит от установки в предыдущем окне в строке Missing data). 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Количество кластеров; </w:t>
      </w:r>
    </w:p>
    <w:p w:rsidR="00350C98" w:rsidRPr="007A1D7F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7A1D7F">
        <w:rPr>
          <w:rFonts w:ascii="Times New Roman" w:hAnsi="Times New Roman" w:cs="Times New Roman"/>
          <w:sz w:val="28"/>
        </w:rPr>
        <w:t xml:space="preserve">Решение достигнуто после : итераций. </w:t>
      </w:r>
    </w:p>
    <w:p w:rsidR="00350C98" w:rsidRDefault="00350C98" w:rsidP="0035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7A1D7F">
        <w:rPr>
          <w:rFonts w:ascii="Times New Roman" w:hAnsi="Times New Roman" w:cs="Times New Roman"/>
          <w:b/>
          <w:bCs/>
          <w:sz w:val="28"/>
          <w:lang w:val="en-US"/>
        </w:rPr>
        <w:t>Analysis of Variance</w:t>
      </w:r>
      <w:r w:rsidRPr="007A1D7F">
        <w:rPr>
          <w:rFonts w:ascii="Times New Roman" w:hAnsi="Times New Roman" w:cs="Times New Roman"/>
          <w:sz w:val="28"/>
          <w:lang w:val="en-US"/>
        </w:rPr>
        <w:t xml:space="preserve"> (</w:t>
      </w:r>
      <w:r w:rsidRPr="007A1D7F">
        <w:rPr>
          <w:rFonts w:ascii="Times New Roman" w:hAnsi="Times New Roman" w:cs="Times New Roman"/>
          <w:i/>
          <w:iCs/>
          <w:sz w:val="28"/>
        </w:rPr>
        <w:t>анализ</w:t>
      </w:r>
      <w:r w:rsidRPr="007A1D7F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r w:rsidRPr="007A1D7F">
        <w:rPr>
          <w:rFonts w:ascii="Times New Roman" w:hAnsi="Times New Roman" w:cs="Times New Roman"/>
          <w:i/>
          <w:iCs/>
          <w:sz w:val="28"/>
        </w:rPr>
        <w:t>дисперсии</w:t>
      </w:r>
      <w:r w:rsidRPr="007A1D7F">
        <w:rPr>
          <w:rFonts w:ascii="Times New Roman" w:hAnsi="Times New Roman" w:cs="Times New Roman"/>
          <w:sz w:val="28"/>
          <w:lang w:val="en-US"/>
        </w:rPr>
        <w:t xml:space="preserve">). </w:t>
      </w:r>
      <w:r w:rsidRPr="007A1D7F">
        <w:rPr>
          <w:rFonts w:ascii="Times New Roman" w:hAnsi="Times New Roman" w:cs="Times New Roman"/>
          <w:sz w:val="28"/>
        </w:rPr>
        <w:t>После на</w:t>
      </w:r>
      <w:r w:rsidR="007A1D7F">
        <w:rPr>
          <w:rFonts w:ascii="Times New Roman" w:hAnsi="Times New Roman" w:cs="Times New Roman"/>
          <w:sz w:val="28"/>
        </w:rPr>
        <w:t>жатия появляется таблица (рис.7</w:t>
      </w:r>
      <w:r w:rsidRPr="007A1D7F">
        <w:rPr>
          <w:rFonts w:ascii="Times New Roman" w:hAnsi="Times New Roman" w:cs="Times New Roman"/>
          <w:sz w:val="28"/>
        </w:rPr>
        <w:t xml:space="preserve">) , в которой приведена межгрупповая и внутригрупповая дисперсии. Где строки - переменные (наблюдения), столбцы - показатели для каждой переменной: дисперсия между </w:t>
      </w:r>
      <w:r w:rsidRPr="007A1D7F">
        <w:rPr>
          <w:rFonts w:ascii="Times New Roman" w:hAnsi="Times New Roman" w:cs="Times New Roman"/>
          <w:sz w:val="28"/>
        </w:rPr>
        <w:lastRenderedPageBreak/>
        <w:t>кластерами, число степеней свободы для межклассовой дисперсии, дисперсия внутри кластеров, число степеней свободы для внутриклассовой дисперсии, F - критерий, для проверки гипотезы о неравенстве дисперсий. Проверка данной гипотезы похожа на проверку гипотезы в дисперсионном анализе, когда делается предположение о том, что уровни фактора не влияют на результат.</w:t>
      </w:r>
      <w:r w:rsidRPr="007A1D7F">
        <w:rPr>
          <w:rFonts w:ascii="Times New Roman" w:hAnsi="Times New Roman" w:cs="Times New Roman"/>
          <w:sz w:val="24"/>
        </w:rPr>
        <w:t xml:space="preserve"> </w:t>
      </w:r>
    </w:p>
    <w:p w:rsidR="007A1D7F" w:rsidRPr="007A1D7F" w:rsidRDefault="007A1D7F" w:rsidP="007A1D7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</w:rPr>
      </w:pPr>
    </w:p>
    <w:p w:rsidR="00350C98" w:rsidRDefault="007A1D7F" w:rsidP="00350C98">
      <w:pPr>
        <w:spacing w:before="100" w:beforeAutospacing="1" w:after="100" w:afterAutospacing="1" w:line="240" w:lineRule="auto"/>
        <w:ind w:left="720"/>
        <w:jc w:val="center"/>
      </w:pPr>
      <w:r>
        <w:rPr>
          <w:noProof/>
          <w:lang w:val="uk-UA" w:eastAsia="uk-UA"/>
        </w:rPr>
        <w:drawing>
          <wp:inline distT="0" distB="0" distL="0" distR="0" wp14:anchorId="372811CA" wp14:editId="71E61DAE">
            <wp:extent cx="4238625" cy="1304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98" w:rsidRPr="00350C98" w:rsidRDefault="00350C98" w:rsidP="00350C98">
      <w:pPr>
        <w:pStyle w:val="a8"/>
        <w:ind w:left="720"/>
        <w:jc w:val="center"/>
        <w:rPr>
          <w:sz w:val="28"/>
          <w:szCs w:val="28"/>
          <w:lang w:val="en-US"/>
        </w:rPr>
      </w:pPr>
      <w:r w:rsidRPr="00350C98">
        <w:rPr>
          <w:sz w:val="28"/>
          <w:szCs w:val="28"/>
        </w:rPr>
        <w:t>Рисунок</w:t>
      </w:r>
      <w:r w:rsidR="007A1D7F">
        <w:rPr>
          <w:sz w:val="28"/>
          <w:szCs w:val="28"/>
          <w:lang w:val="en-US"/>
        </w:rPr>
        <w:t xml:space="preserve"> </w:t>
      </w:r>
      <w:r w:rsidR="007A1D7F" w:rsidRPr="007A1D7F">
        <w:rPr>
          <w:sz w:val="28"/>
          <w:szCs w:val="28"/>
          <w:lang w:val="en-US"/>
        </w:rPr>
        <w:t xml:space="preserve">7 </w:t>
      </w:r>
      <w:r w:rsidR="007A1D7F">
        <w:rPr>
          <w:sz w:val="28"/>
          <w:szCs w:val="28"/>
          <w:lang w:val="en-US"/>
        </w:rPr>
        <w:t>-</w:t>
      </w:r>
      <w:r w:rsidRPr="00350C98">
        <w:rPr>
          <w:sz w:val="28"/>
          <w:szCs w:val="28"/>
          <w:lang w:val="en-US"/>
        </w:rPr>
        <w:t xml:space="preserve"> </w:t>
      </w:r>
      <w:r w:rsidRPr="00350C98">
        <w:rPr>
          <w:bCs/>
          <w:sz w:val="28"/>
          <w:szCs w:val="28"/>
          <w:lang w:val="en-US"/>
        </w:rPr>
        <w:t>Analysis of Variance</w:t>
      </w:r>
      <w:r w:rsidRPr="00350C98">
        <w:rPr>
          <w:sz w:val="28"/>
          <w:szCs w:val="28"/>
          <w:lang w:val="en-US"/>
        </w:rPr>
        <w:t xml:space="preserve"> (</w:t>
      </w:r>
      <w:r w:rsidRPr="00350C98">
        <w:rPr>
          <w:i/>
          <w:iCs/>
          <w:sz w:val="28"/>
          <w:szCs w:val="28"/>
        </w:rPr>
        <w:t>анализ</w:t>
      </w:r>
      <w:r w:rsidRPr="00350C98">
        <w:rPr>
          <w:i/>
          <w:iCs/>
          <w:sz w:val="28"/>
          <w:szCs w:val="28"/>
          <w:lang w:val="en-US"/>
        </w:rPr>
        <w:t xml:space="preserve"> </w:t>
      </w:r>
      <w:r w:rsidRPr="00350C98">
        <w:rPr>
          <w:i/>
          <w:iCs/>
          <w:sz w:val="28"/>
          <w:szCs w:val="28"/>
        </w:rPr>
        <w:t>дисперсии</w:t>
      </w:r>
      <w:r w:rsidRPr="00350C98">
        <w:rPr>
          <w:sz w:val="28"/>
          <w:szCs w:val="28"/>
          <w:lang w:val="en-US"/>
        </w:rPr>
        <w:t>).</w:t>
      </w:r>
    </w:p>
    <w:p w:rsidR="00C92871" w:rsidRDefault="001C685E" w:rsidP="00C92871">
      <w:pPr>
        <w:tabs>
          <w:tab w:val="left" w:pos="426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98B20C" wp14:editId="24FE39B7">
            <wp:extent cx="3381375" cy="1000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7F" w:rsidRPr="007A1D7F" w:rsidRDefault="007A1D7F" w:rsidP="007A1D7F">
      <w:pPr>
        <w:pStyle w:val="a8"/>
        <w:ind w:left="720"/>
        <w:jc w:val="center"/>
        <w:rPr>
          <w:sz w:val="28"/>
          <w:szCs w:val="28"/>
        </w:rPr>
      </w:pPr>
      <w:r w:rsidRPr="00350C98">
        <w:rPr>
          <w:sz w:val="28"/>
          <w:szCs w:val="28"/>
        </w:rPr>
        <w:t>Рисунок</w:t>
      </w:r>
      <w:r w:rsidRPr="007A1D7F">
        <w:rPr>
          <w:sz w:val="28"/>
          <w:szCs w:val="28"/>
        </w:rPr>
        <w:t xml:space="preserve"> </w:t>
      </w:r>
      <w:r w:rsidRPr="007A1D7F">
        <w:rPr>
          <w:sz w:val="28"/>
          <w:szCs w:val="28"/>
        </w:rPr>
        <w:t>8</w:t>
      </w:r>
      <w:r w:rsidRPr="007A1D7F">
        <w:rPr>
          <w:sz w:val="28"/>
          <w:szCs w:val="28"/>
        </w:rPr>
        <w:t xml:space="preserve"> </w:t>
      </w:r>
      <w:r w:rsidRPr="007A1D7F">
        <w:rPr>
          <w:sz w:val="28"/>
          <w:szCs w:val="28"/>
        </w:rPr>
        <w:t>–</w:t>
      </w:r>
      <w:r w:rsidRPr="007A1D7F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Расстояние между кластерами</w:t>
      </w:r>
    </w:p>
    <w:p w:rsidR="00C92871" w:rsidRDefault="00C92871" w:rsidP="00C92871">
      <w:pPr>
        <w:pStyle w:val="a8"/>
        <w:tabs>
          <w:tab w:val="left" w:pos="426"/>
        </w:tabs>
        <w:ind w:firstLine="720"/>
        <w:jc w:val="both"/>
        <w:rPr>
          <w:sz w:val="28"/>
          <w:szCs w:val="28"/>
        </w:rPr>
      </w:pPr>
      <w:r w:rsidRPr="00C92871">
        <w:rPr>
          <w:sz w:val="28"/>
          <w:szCs w:val="28"/>
        </w:rPr>
        <w:t>В таблице  приведены расстояния между класс</w:t>
      </w:r>
      <w:r w:rsidR="007A1D7F">
        <w:rPr>
          <w:sz w:val="28"/>
          <w:szCs w:val="28"/>
        </w:rPr>
        <w:t>тер</w:t>
      </w:r>
      <w:r w:rsidRPr="00C92871">
        <w:rPr>
          <w:sz w:val="28"/>
          <w:szCs w:val="28"/>
        </w:rPr>
        <w:t>ами. И по вертикали и по горизонтали указаны номера кластеров. Таким образом при пересечении строк и столбцов указаны расстояния между соответствующими класс</w:t>
      </w:r>
      <w:r w:rsidR="007A1D7F">
        <w:rPr>
          <w:sz w:val="28"/>
          <w:szCs w:val="28"/>
        </w:rPr>
        <w:t>тер</w:t>
      </w:r>
      <w:r w:rsidRPr="00C92871">
        <w:rPr>
          <w:sz w:val="28"/>
          <w:szCs w:val="28"/>
        </w:rPr>
        <w:t>ами. Причем выше диагонали (на которой стоят нули) указаны квадраты, а ниже просто евклидово расстояние.</w:t>
      </w:r>
    </w:p>
    <w:p w:rsidR="00F16BB4" w:rsidRPr="00F16BB4" w:rsidRDefault="00F16BB4" w:rsidP="00F16BB4">
      <w:pPr>
        <w:pStyle w:val="a8"/>
        <w:tabs>
          <w:tab w:val="left" w:pos="426"/>
        </w:tabs>
        <w:ind w:firstLine="720"/>
        <w:jc w:val="both"/>
        <w:rPr>
          <w:sz w:val="28"/>
          <w:szCs w:val="28"/>
        </w:rPr>
      </w:pPr>
      <w:r w:rsidRPr="00F16BB4">
        <w:rPr>
          <w:sz w:val="28"/>
          <w:szCs w:val="28"/>
        </w:rPr>
        <w:t>Graph of means представляет собой</w:t>
      </w:r>
      <w:r w:rsidR="00637919">
        <w:rPr>
          <w:sz w:val="28"/>
          <w:szCs w:val="28"/>
        </w:rPr>
        <w:t xml:space="preserve"> графическое изображение (рис.9</w:t>
      </w:r>
      <w:r w:rsidRPr="00F16BB4">
        <w:rPr>
          <w:sz w:val="28"/>
          <w:szCs w:val="28"/>
        </w:rPr>
        <w:t xml:space="preserve">) информации содержащейся в таблице, выводимой при нажатии кнопку Analysis of Variance (анализ дисперсии). На графике показаны средние значения переменных для каждого кластера. </w:t>
      </w:r>
    </w:p>
    <w:p w:rsidR="00F16BB4" w:rsidRDefault="001C685E" w:rsidP="00F16BB4">
      <w:pPr>
        <w:spacing w:before="100" w:beforeAutospacing="1" w:after="100" w:afterAutospacing="1" w:line="240" w:lineRule="auto"/>
        <w:ind w:left="36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4E06433" wp14:editId="7AF79BA1">
            <wp:extent cx="4162425" cy="3114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4" w:rsidRPr="00F16BB4" w:rsidRDefault="00637919" w:rsidP="00F16BB4">
      <w:pPr>
        <w:pStyle w:val="a8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9 -</w:t>
      </w:r>
      <w:r w:rsidR="00F16BB4" w:rsidRPr="00F16BB4">
        <w:rPr>
          <w:sz w:val="28"/>
          <w:szCs w:val="28"/>
        </w:rPr>
        <w:t xml:space="preserve"> Graph of means.</w:t>
      </w:r>
    </w:p>
    <w:p w:rsidR="00F16BB4" w:rsidRDefault="00F16BB4" w:rsidP="00F16BB4">
      <w:pPr>
        <w:pStyle w:val="a8"/>
        <w:tabs>
          <w:tab w:val="left" w:pos="426"/>
        </w:tabs>
        <w:ind w:firstLine="720"/>
        <w:jc w:val="both"/>
        <w:rPr>
          <w:sz w:val="28"/>
          <w:szCs w:val="28"/>
        </w:rPr>
      </w:pPr>
      <w:r w:rsidRPr="00F16BB4">
        <w:rPr>
          <w:sz w:val="28"/>
          <w:szCs w:val="28"/>
        </w:rPr>
        <w:t>По горизонтали отложены учавствующие в классификации переменные, а по вертикали - средние значения переменных в разрезе получаемых кластеров.</w:t>
      </w:r>
    </w:p>
    <w:p w:rsidR="008E7E95" w:rsidRDefault="008E7E95" w:rsidP="008E7E95">
      <w:pPr>
        <w:pStyle w:val="a8"/>
        <w:tabs>
          <w:tab w:val="left" w:pos="426"/>
        </w:tabs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EB6FD62" wp14:editId="77044B41">
            <wp:extent cx="5940425" cy="46400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95" w:rsidRDefault="008E7E95" w:rsidP="008E7E95">
      <w:pPr>
        <w:pStyle w:val="a8"/>
        <w:tabs>
          <w:tab w:val="left" w:pos="42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Кластерный анализ в </w:t>
      </w:r>
      <w:r>
        <w:rPr>
          <w:sz w:val="28"/>
          <w:szCs w:val="28"/>
          <w:lang w:val="en-US"/>
        </w:rPr>
        <w:t>Ex</w:t>
      </w:r>
      <w:r w:rsidR="00003F01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el</w:t>
      </w:r>
    </w:p>
    <w:p w:rsidR="00003F01" w:rsidRDefault="0011639E" w:rsidP="008E7E95">
      <w:pPr>
        <w:pStyle w:val="a8"/>
        <w:tabs>
          <w:tab w:val="left" w:pos="426"/>
        </w:tabs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AECF78" wp14:editId="3FB236A3">
            <wp:extent cx="3990975" cy="3362325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1639E" w:rsidRPr="0011639E" w:rsidRDefault="0011639E" w:rsidP="0011639E">
      <w:pPr>
        <w:pStyle w:val="a8"/>
        <w:tabs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11639E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гистограмма центров тяжести переменных по кластерам</w:t>
      </w:r>
      <w:bookmarkStart w:id="0" w:name="_GoBack"/>
      <w:bookmarkEnd w:id="0"/>
    </w:p>
    <w:p w:rsidR="0011639E" w:rsidRPr="0011639E" w:rsidRDefault="0011639E" w:rsidP="008E7E95">
      <w:pPr>
        <w:pStyle w:val="a8"/>
        <w:tabs>
          <w:tab w:val="left" w:pos="426"/>
        </w:tabs>
        <w:jc w:val="center"/>
        <w:rPr>
          <w:sz w:val="28"/>
          <w:szCs w:val="28"/>
        </w:rPr>
      </w:pPr>
    </w:p>
    <w:p w:rsidR="008E7E95" w:rsidRDefault="008E7E95" w:rsidP="00F16BB4">
      <w:pPr>
        <w:pStyle w:val="a8"/>
        <w:tabs>
          <w:tab w:val="left" w:pos="426"/>
        </w:tabs>
        <w:ind w:firstLine="720"/>
        <w:jc w:val="both"/>
        <w:rPr>
          <w:sz w:val="28"/>
          <w:szCs w:val="28"/>
        </w:rPr>
      </w:pPr>
    </w:p>
    <w:p w:rsidR="00384866" w:rsidRPr="00384866" w:rsidRDefault="00384866" w:rsidP="00384866">
      <w:pPr>
        <w:pStyle w:val="a8"/>
        <w:tabs>
          <w:tab w:val="left" w:pos="426"/>
        </w:tabs>
        <w:ind w:firstLine="720"/>
        <w:jc w:val="both"/>
        <w:rPr>
          <w:sz w:val="28"/>
          <w:szCs w:val="28"/>
        </w:rPr>
      </w:pPr>
      <w:r w:rsidRPr="00384866">
        <w:rPr>
          <w:sz w:val="28"/>
          <w:szCs w:val="28"/>
        </w:rPr>
        <w:t xml:space="preserve">Выводы в ходе лабораторной работы был изучен кластерный анализ по экспериментальным данным. Обычно, когда результаты кластерного анализа методом K средних получены, можно рассчитать средние для каждого кластера по каждому измерению, чтобы оценить, насколько кластеры различаются друг от друга. </w:t>
      </w:r>
      <w:r w:rsidR="001C685E">
        <w:rPr>
          <w:sz w:val="28"/>
          <w:szCs w:val="28"/>
        </w:rPr>
        <w:t>(В нашем случае (рис.9</w:t>
      </w:r>
      <w:r w:rsidRPr="00384866">
        <w:rPr>
          <w:sz w:val="28"/>
          <w:szCs w:val="28"/>
        </w:rPr>
        <w:t>), значения переменных пересекаются, но все же мы можем наблюдать достаточно четкие различия кластеров. Для более отчетливой группировки следует сократить число параметров.). Значения F-статистики, полученные для каждого измерения, являются другим индикатором того, насколько хорошо соответствующее измерение дискриминирует кластеры. Так как у нас решение найдено после одной итерации (меньше чем мы задали), то можно сделать выводод о том, что итоговая конфигурация является искомой.</w:t>
      </w:r>
    </w:p>
    <w:p w:rsidR="00350C98" w:rsidRPr="00350C98" w:rsidRDefault="00350C98" w:rsidP="00FB504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12F" w:rsidRPr="00350C98" w:rsidRDefault="0023112F" w:rsidP="00F83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3112F" w:rsidRPr="00350C98" w:rsidSect="00593E7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C53"/>
    <w:multiLevelType w:val="multilevel"/>
    <w:tmpl w:val="D9A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95987"/>
    <w:multiLevelType w:val="multilevel"/>
    <w:tmpl w:val="AC54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C4465"/>
    <w:multiLevelType w:val="multilevel"/>
    <w:tmpl w:val="3CD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7FB8"/>
    <w:rsid w:val="00003F01"/>
    <w:rsid w:val="000403F8"/>
    <w:rsid w:val="0011639E"/>
    <w:rsid w:val="001934AF"/>
    <w:rsid w:val="001C685E"/>
    <w:rsid w:val="0023112F"/>
    <w:rsid w:val="002F6FAC"/>
    <w:rsid w:val="00350C98"/>
    <w:rsid w:val="00384866"/>
    <w:rsid w:val="00494EBE"/>
    <w:rsid w:val="00517FB8"/>
    <w:rsid w:val="00593E7B"/>
    <w:rsid w:val="006134E4"/>
    <w:rsid w:val="00636378"/>
    <w:rsid w:val="00637919"/>
    <w:rsid w:val="007523AA"/>
    <w:rsid w:val="007A1D7F"/>
    <w:rsid w:val="008014A5"/>
    <w:rsid w:val="00871266"/>
    <w:rsid w:val="008B08AC"/>
    <w:rsid w:val="008E7E95"/>
    <w:rsid w:val="00994DA8"/>
    <w:rsid w:val="009A525A"/>
    <w:rsid w:val="00A44C9A"/>
    <w:rsid w:val="00C216AD"/>
    <w:rsid w:val="00C92871"/>
    <w:rsid w:val="00E80BFB"/>
    <w:rsid w:val="00F16BB4"/>
    <w:rsid w:val="00F830BB"/>
    <w:rsid w:val="00F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FB8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517FB8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9A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525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A52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5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6semestr\&#1048;&#1040;&#1044;\lab4\la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Лист1!$N$5</c:f>
              <c:strCache>
                <c:ptCount val="1"/>
                <c:pt idx="0">
                  <c:v>Год выпуска</c:v>
                </c:pt>
              </c:strCache>
            </c:strRef>
          </c:tx>
          <c:invertIfNegative val="0"/>
          <c:cat>
            <c:numRef>
              <c:f>Лист1!$O$4:$P$4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Лист1!$O$5:$P$5</c:f>
              <c:numCache>
                <c:formatCode>General</c:formatCode>
                <c:ptCount val="2"/>
                <c:pt idx="0">
                  <c:v>1995.25</c:v>
                </c:pt>
                <c:pt idx="1">
                  <c:v>2004.090909090909</c:v>
                </c:pt>
              </c:numCache>
            </c:numRef>
          </c:val>
        </c:ser>
        <c:ser>
          <c:idx val="1"/>
          <c:order val="1"/>
          <c:tx>
            <c:strRef>
              <c:f>Лист1!$N$6</c:f>
              <c:strCache>
                <c:ptCount val="1"/>
                <c:pt idx="0">
                  <c:v>Номинал, грн</c:v>
                </c:pt>
              </c:strCache>
            </c:strRef>
          </c:tx>
          <c:invertIfNegative val="0"/>
          <c:cat>
            <c:numRef>
              <c:f>Лист1!$O$4:$P$4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Лист1!$O$6:$P$6</c:f>
              <c:numCache>
                <c:formatCode>General</c:formatCode>
                <c:ptCount val="2"/>
                <c:pt idx="0">
                  <c:v>200000</c:v>
                </c:pt>
                <c:pt idx="1">
                  <c:v>5.8181818181818183</c:v>
                </c:pt>
              </c:numCache>
            </c:numRef>
          </c:val>
        </c:ser>
        <c:ser>
          <c:idx val="2"/>
          <c:order val="2"/>
          <c:tx>
            <c:strRef>
              <c:f>Лист1!$N$7</c:f>
              <c:strCache>
                <c:ptCount val="1"/>
                <c:pt idx="0">
                  <c:v>Диаметр, мм</c:v>
                </c:pt>
              </c:strCache>
            </c:strRef>
          </c:tx>
          <c:invertIfNegative val="0"/>
          <c:cat>
            <c:numRef>
              <c:f>Лист1!$O$4:$P$4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Лист1!$O$7:$P$7</c:f>
              <c:numCache>
                <c:formatCode>General</c:formatCode>
                <c:ptCount val="2"/>
                <c:pt idx="0">
                  <c:v>35.902500000000003</c:v>
                </c:pt>
                <c:pt idx="1">
                  <c:v>34.165454545454544</c:v>
                </c:pt>
              </c:numCache>
            </c:numRef>
          </c:val>
        </c:ser>
        <c:ser>
          <c:idx val="3"/>
          <c:order val="3"/>
          <c:tx>
            <c:strRef>
              <c:f>Лист1!$N$8</c:f>
              <c:strCache>
                <c:ptCount val="1"/>
                <c:pt idx="0">
                  <c:v>Вес, г</c:v>
                </c:pt>
              </c:strCache>
            </c:strRef>
          </c:tx>
          <c:invertIfNegative val="0"/>
          <c:cat>
            <c:numRef>
              <c:f>Лист1!$O$4:$P$4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Лист1!$O$8:$P$8</c:f>
              <c:numCache>
                <c:formatCode>General</c:formatCode>
                <c:ptCount val="2"/>
                <c:pt idx="0">
                  <c:v>22.020000000000003</c:v>
                </c:pt>
                <c:pt idx="1">
                  <c:v>18.669999999999998</c:v>
                </c:pt>
              </c:numCache>
            </c:numRef>
          </c:val>
        </c:ser>
        <c:ser>
          <c:idx val="4"/>
          <c:order val="4"/>
          <c:tx>
            <c:strRef>
              <c:f>Лист1!$N$9</c:f>
              <c:strCache>
                <c:ptCount val="1"/>
                <c:pt idx="0">
                  <c:v>Тираж, шт.</c:v>
                </c:pt>
              </c:strCache>
            </c:strRef>
          </c:tx>
          <c:invertIfNegative val="0"/>
          <c:cat>
            <c:numRef>
              <c:f>Лист1!$O$4:$P$4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Лист1!$O$9:$P$9</c:f>
              <c:numCache>
                <c:formatCode>General</c:formatCode>
                <c:ptCount val="2"/>
                <c:pt idx="0">
                  <c:v>108750</c:v>
                </c:pt>
                <c:pt idx="1">
                  <c:v>40272.727272727272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854016"/>
        <c:axId val="126862464"/>
      </c:barChart>
      <c:catAx>
        <c:axId val="122854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862464"/>
        <c:crosses val="autoZero"/>
        <c:auto val="1"/>
        <c:lblAlgn val="ctr"/>
        <c:lblOffset val="100"/>
        <c:noMultiLvlLbl val="0"/>
      </c:catAx>
      <c:valAx>
        <c:axId val="12686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854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A152-ACF5-40D0-8250-BC5BEF5A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3339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irina</cp:lastModifiedBy>
  <cp:revision>19</cp:revision>
  <cp:lastPrinted>2015-05-13T09:33:00Z</cp:lastPrinted>
  <dcterms:created xsi:type="dcterms:W3CDTF">2015-03-18T01:30:00Z</dcterms:created>
  <dcterms:modified xsi:type="dcterms:W3CDTF">2015-06-07T08:09:00Z</dcterms:modified>
</cp:coreProperties>
</file>