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11" w:rsidRPr="00082CD6" w:rsidRDefault="003C7511" w:rsidP="003C7511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3C7511" w:rsidRPr="00AE5ACD" w:rsidRDefault="003C7511" w:rsidP="003C7511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3C7511" w:rsidRDefault="003C7511" w:rsidP="003C7511">
      <w:pPr>
        <w:jc w:val="center"/>
        <w:rPr>
          <w:sz w:val="32"/>
          <w:lang w:val="ru-RU"/>
        </w:rPr>
      </w:pPr>
    </w:p>
    <w:p w:rsidR="003C7511" w:rsidRDefault="003C7511" w:rsidP="003C7511">
      <w:pPr>
        <w:jc w:val="center"/>
        <w:rPr>
          <w:sz w:val="32"/>
          <w:lang w:val="ru-RU"/>
        </w:rPr>
      </w:pPr>
    </w:p>
    <w:p w:rsidR="003C7511" w:rsidRDefault="003C7511" w:rsidP="003C7511">
      <w:pPr>
        <w:jc w:val="center"/>
        <w:rPr>
          <w:sz w:val="32"/>
          <w:lang w:val="ru-RU"/>
        </w:rPr>
      </w:pPr>
    </w:p>
    <w:p w:rsidR="003C7511" w:rsidRPr="00AE5ACD" w:rsidRDefault="003C7511" w:rsidP="003C7511">
      <w:pPr>
        <w:jc w:val="center"/>
        <w:rPr>
          <w:sz w:val="32"/>
          <w:lang w:val="ru-RU"/>
        </w:rPr>
      </w:pPr>
    </w:p>
    <w:p w:rsidR="003C7511" w:rsidRPr="00AE5ACD" w:rsidRDefault="003C7511" w:rsidP="003C7511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№2</w:t>
      </w:r>
    </w:p>
    <w:p w:rsidR="003C7511" w:rsidRDefault="003C7511" w:rsidP="003C7511">
      <w:pPr>
        <w:rPr>
          <w:lang w:val="ru-RU"/>
        </w:rPr>
      </w:pPr>
    </w:p>
    <w:p w:rsidR="003C7511" w:rsidRDefault="003C7511" w:rsidP="003C7511">
      <w:pPr>
        <w:rPr>
          <w:lang w:val="ru-RU"/>
        </w:rPr>
      </w:pPr>
    </w:p>
    <w:p w:rsidR="003C7511" w:rsidRDefault="003C7511" w:rsidP="003C7511">
      <w:pPr>
        <w:rPr>
          <w:lang w:val="ru-RU"/>
        </w:rPr>
      </w:pPr>
    </w:p>
    <w:p w:rsidR="003C7511" w:rsidRDefault="003C7511" w:rsidP="003C7511">
      <w:pPr>
        <w:rPr>
          <w:lang w:val="ru-RU"/>
        </w:rPr>
      </w:pPr>
    </w:p>
    <w:p w:rsidR="003C7511" w:rsidRDefault="003C7511" w:rsidP="003C7511">
      <w:pPr>
        <w:rPr>
          <w:lang w:val="ru-RU"/>
        </w:rPr>
      </w:pPr>
    </w:p>
    <w:p w:rsidR="003C7511" w:rsidRPr="005A2B69" w:rsidRDefault="003C7511" w:rsidP="003C7511">
      <w:pPr>
        <w:rPr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</w:p>
    <w:p w:rsidR="003C7511" w:rsidRDefault="003C7511" w:rsidP="003C7511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3C7511" w:rsidRPr="0064154F" w:rsidRDefault="003C7511" w:rsidP="003C7511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7005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511" w:rsidRDefault="003C7511">
          <w:pPr>
            <w:pStyle w:val="TOCHeading"/>
          </w:pPr>
          <w:r>
            <w:t>Contents</w:t>
          </w:r>
        </w:p>
        <w:p w:rsidR="00422375" w:rsidRDefault="0065392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0519" w:history="1">
            <w:r w:rsidR="00422375" w:rsidRPr="00045A3D">
              <w:rPr>
                <w:rStyle w:val="Hyperlink"/>
                <w:noProof/>
                <w:lang w:val="ru-RU"/>
              </w:rPr>
              <w:t>Корреляция последовательностей</w:t>
            </w:r>
            <w:r w:rsidR="00422375">
              <w:rPr>
                <w:noProof/>
                <w:webHidden/>
              </w:rPr>
              <w:tab/>
            </w:r>
            <w:r w:rsidR="00422375">
              <w:rPr>
                <w:noProof/>
                <w:webHidden/>
              </w:rPr>
              <w:fldChar w:fldCharType="begin"/>
            </w:r>
            <w:r w:rsidR="00422375">
              <w:rPr>
                <w:noProof/>
                <w:webHidden/>
              </w:rPr>
              <w:instrText xml:space="preserve"> PAGEREF _Toc89770519 \h </w:instrText>
            </w:r>
            <w:r w:rsidR="00422375">
              <w:rPr>
                <w:noProof/>
                <w:webHidden/>
              </w:rPr>
            </w:r>
            <w:r w:rsidR="00422375">
              <w:rPr>
                <w:noProof/>
                <w:webHidden/>
              </w:rPr>
              <w:fldChar w:fldCharType="separate"/>
            </w:r>
            <w:r w:rsidR="00DD7C06">
              <w:rPr>
                <w:noProof/>
                <w:webHidden/>
              </w:rPr>
              <w:t>3</w:t>
            </w:r>
            <w:r w:rsidR="00422375">
              <w:rPr>
                <w:noProof/>
                <w:webHidden/>
              </w:rPr>
              <w:fldChar w:fldCharType="end"/>
            </w:r>
          </w:hyperlink>
        </w:p>
        <w:p w:rsidR="00422375" w:rsidRDefault="002633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70520" w:history="1">
            <w:r w:rsidR="00422375" w:rsidRPr="00045A3D">
              <w:rPr>
                <w:rStyle w:val="Hyperlink"/>
                <w:noProof/>
                <w:lang w:val="ru-RU"/>
              </w:rPr>
              <w:t>Оценка частотной характеристики канала</w:t>
            </w:r>
            <w:r w:rsidR="00422375">
              <w:rPr>
                <w:noProof/>
                <w:webHidden/>
              </w:rPr>
              <w:tab/>
            </w:r>
            <w:r w:rsidR="00422375">
              <w:rPr>
                <w:noProof/>
                <w:webHidden/>
              </w:rPr>
              <w:fldChar w:fldCharType="begin"/>
            </w:r>
            <w:r w:rsidR="00422375">
              <w:rPr>
                <w:noProof/>
                <w:webHidden/>
              </w:rPr>
              <w:instrText xml:space="preserve"> PAGEREF _Toc89770520 \h </w:instrText>
            </w:r>
            <w:r w:rsidR="00422375">
              <w:rPr>
                <w:noProof/>
                <w:webHidden/>
              </w:rPr>
            </w:r>
            <w:r w:rsidR="00422375">
              <w:rPr>
                <w:noProof/>
                <w:webHidden/>
              </w:rPr>
              <w:fldChar w:fldCharType="separate"/>
            </w:r>
            <w:r w:rsidR="00DD7C06">
              <w:rPr>
                <w:noProof/>
                <w:webHidden/>
              </w:rPr>
              <w:t>5</w:t>
            </w:r>
            <w:r w:rsidR="00422375">
              <w:rPr>
                <w:noProof/>
                <w:webHidden/>
              </w:rPr>
              <w:fldChar w:fldCharType="end"/>
            </w:r>
          </w:hyperlink>
        </w:p>
        <w:p w:rsidR="00422375" w:rsidRDefault="002633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70521" w:history="1">
            <w:r w:rsidR="00422375" w:rsidRPr="00045A3D">
              <w:rPr>
                <w:rStyle w:val="Hyperlink"/>
                <w:noProof/>
              </w:rPr>
              <w:t>BER</w:t>
            </w:r>
            <w:r w:rsidR="00422375">
              <w:rPr>
                <w:noProof/>
                <w:webHidden/>
              </w:rPr>
              <w:tab/>
            </w:r>
            <w:r w:rsidR="00422375">
              <w:rPr>
                <w:noProof/>
                <w:webHidden/>
              </w:rPr>
              <w:fldChar w:fldCharType="begin"/>
            </w:r>
            <w:r w:rsidR="00422375">
              <w:rPr>
                <w:noProof/>
                <w:webHidden/>
              </w:rPr>
              <w:instrText xml:space="preserve"> PAGEREF _Toc89770521 \h </w:instrText>
            </w:r>
            <w:r w:rsidR="00422375">
              <w:rPr>
                <w:noProof/>
                <w:webHidden/>
              </w:rPr>
            </w:r>
            <w:r w:rsidR="00422375">
              <w:rPr>
                <w:noProof/>
                <w:webHidden/>
              </w:rPr>
              <w:fldChar w:fldCharType="separate"/>
            </w:r>
            <w:r w:rsidR="00DD7C06">
              <w:rPr>
                <w:noProof/>
                <w:webHidden/>
              </w:rPr>
              <w:t>9</w:t>
            </w:r>
            <w:r w:rsidR="00422375">
              <w:rPr>
                <w:noProof/>
                <w:webHidden/>
              </w:rPr>
              <w:fldChar w:fldCharType="end"/>
            </w:r>
          </w:hyperlink>
        </w:p>
        <w:p w:rsidR="00422375" w:rsidRDefault="002633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70522" w:history="1">
            <w:r w:rsidR="00422375" w:rsidRPr="00045A3D">
              <w:rPr>
                <w:rStyle w:val="Hyperlink"/>
                <w:noProof/>
                <w:lang w:val="ru-RU"/>
              </w:rPr>
              <w:t>Заключение</w:t>
            </w:r>
            <w:r w:rsidR="00422375">
              <w:rPr>
                <w:noProof/>
                <w:webHidden/>
              </w:rPr>
              <w:tab/>
            </w:r>
            <w:r w:rsidR="00422375">
              <w:rPr>
                <w:noProof/>
                <w:webHidden/>
              </w:rPr>
              <w:fldChar w:fldCharType="begin"/>
            </w:r>
            <w:r w:rsidR="00422375">
              <w:rPr>
                <w:noProof/>
                <w:webHidden/>
              </w:rPr>
              <w:instrText xml:space="preserve"> PAGEREF _Toc89770522 \h </w:instrText>
            </w:r>
            <w:r w:rsidR="00422375">
              <w:rPr>
                <w:noProof/>
                <w:webHidden/>
              </w:rPr>
            </w:r>
            <w:r w:rsidR="00422375">
              <w:rPr>
                <w:noProof/>
                <w:webHidden/>
              </w:rPr>
              <w:fldChar w:fldCharType="separate"/>
            </w:r>
            <w:r w:rsidR="00DD7C06">
              <w:rPr>
                <w:noProof/>
                <w:webHidden/>
              </w:rPr>
              <w:t>11</w:t>
            </w:r>
            <w:r w:rsidR="00422375">
              <w:rPr>
                <w:noProof/>
                <w:webHidden/>
              </w:rPr>
              <w:fldChar w:fldCharType="end"/>
            </w:r>
          </w:hyperlink>
        </w:p>
        <w:p w:rsidR="00422375" w:rsidRDefault="002633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70523" w:history="1">
            <w:r w:rsidR="00422375" w:rsidRPr="00045A3D">
              <w:rPr>
                <w:rStyle w:val="Hyperlink"/>
                <w:noProof/>
              </w:rPr>
              <w:t>Tmp. Materials (not included)</w:t>
            </w:r>
            <w:r w:rsidR="00422375">
              <w:rPr>
                <w:noProof/>
                <w:webHidden/>
              </w:rPr>
              <w:tab/>
            </w:r>
            <w:r w:rsidR="00422375">
              <w:rPr>
                <w:noProof/>
                <w:webHidden/>
              </w:rPr>
              <w:fldChar w:fldCharType="begin"/>
            </w:r>
            <w:r w:rsidR="00422375">
              <w:rPr>
                <w:noProof/>
                <w:webHidden/>
              </w:rPr>
              <w:instrText xml:space="preserve"> PAGEREF _Toc89770523 \h </w:instrText>
            </w:r>
            <w:r w:rsidR="00422375">
              <w:rPr>
                <w:noProof/>
                <w:webHidden/>
              </w:rPr>
            </w:r>
            <w:r w:rsidR="00422375">
              <w:rPr>
                <w:noProof/>
                <w:webHidden/>
              </w:rPr>
              <w:fldChar w:fldCharType="separate"/>
            </w:r>
            <w:r w:rsidR="00DD7C06">
              <w:rPr>
                <w:noProof/>
                <w:webHidden/>
              </w:rPr>
              <w:t>13</w:t>
            </w:r>
            <w:r w:rsidR="00422375">
              <w:rPr>
                <w:noProof/>
                <w:webHidden/>
              </w:rPr>
              <w:fldChar w:fldCharType="end"/>
            </w:r>
          </w:hyperlink>
        </w:p>
        <w:p w:rsidR="003C7511" w:rsidRDefault="0065392A">
          <w:r>
            <w:rPr>
              <w:b/>
              <w:bCs/>
              <w:noProof/>
            </w:rPr>
            <w:fldChar w:fldCharType="end"/>
          </w:r>
        </w:p>
      </w:sdtContent>
    </w:sdt>
    <w:p w:rsidR="003C7511" w:rsidRDefault="003C7511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br w:type="page"/>
      </w:r>
      <w:bookmarkStart w:id="0" w:name="_GoBack"/>
      <w:bookmarkEnd w:id="0"/>
    </w:p>
    <w:p w:rsidR="003C7511" w:rsidRDefault="003C7511" w:rsidP="003C7511">
      <w:pPr>
        <w:pStyle w:val="Heading1"/>
        <w:rPr>
          <w:rFonts w:eastAsiaTheme="minorEastAsia"/>
          <w:lang w:val="ru-RU"/>
        </w:rPr>
      </w:pPr>
      <w:bookmarkStart w:id="1" w:name="_Toc89770519"/>
      <w:r>
        <w:rPr>
          <w:rFonts w:eastAsiaTheme="minorEastAsia"/>
          <w:lang w:val="ru-RU"/>
        </w:rPr>
        <w:lastRenderedPageBreak/>
        <w:t>Корреляция последовательностей</w:t>
      </w:r>
      <w:bookmarkEnd w:id="1"/>
    </w:p>
    <w:p w:rsidR="00D311EA" w:rsidRPr="00D311EA" w:rsidRDefault="00D311EA" w:rsidP="00D311EA">
      <w:pPr>
        <w:rPr>
          <w:lang w:val="ru-RU"/>
        </w:rPr>
      </w:pPr>
      <w:r w:rsidRPr="0064154F">
        <w:rPr>
          <w:lang w:val="ru-RU"/>
        </w:rPr>
        <w:tab/>
      </w:r>
      <w:r>
        <w:rPr>
          <w:lang w:val="ru-RU"/>
        </w:rPr>
        <w:t xml:space="preserve">Были сгенерированы последовательности для </w:t>
      </w:r>
      <w:r>
        <w:t>SRS</w:t>
      </w:r>
      <w:r w:rsidRPr="00D311EA">
        <w:rPr>
          <w:lang w:val="ru-RU"/>
        </w:rPr>
        <w:t xml:space="preserve"> </w:t>
      </w:r>
      <w:r>
        <w:rPr>
          <w:lang w:val="ru-RU"/>
        </w:rPr>
        <w:t>пилотов с разным циклическим сдвигом. Была исследована авто</w:t>
      </w:r>
      <w:r w:rsidRPr="00D311EA">
        <w:rPr>
          <w:lang w:val="ru-RU"/>
        </w:rPr>
        <w:t>/</w:t>
      </w:r>
      <w:r>
        <w:rPr>
          <w:lang w:val="ru-RU"/>
        </w:rPr>
        <w:t>кросс-корреляция полученых сигналов (Рис. 1</w:t>
      </w:r>
      <w:r w:rsidR="00D7466C">
        <w:t>, 2, 3</w:t>
      </w:r>
      <w:r>
        <w:rPr>
          <w:lang w:val="ru-RU"/>
        </w:rPr>
        <w:t>).</w:t>
      </w:r>
    </w:p>
    <w:p w:rsidR="003C7511" w:rsidRDefault="00D7466C" w:rsidP="00D311EA">
      <w:pPr>
        <w:rPr>
          <w:lang w:val="ru-RU"/>
        </w:rPr>
      </w:pPr>
      <w:r>
        <w:rPr>
          <w:noProof/>
        </w:rPr>
        <w:drawing>
          <wp:inline distT="0" distB="0" distL="0" distR="0" wp14:anchorId="1AD4F11F" wp14:editId="7632EA88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_co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1" w:rsidRDefault="00D311EA" w:rsidP="00D311EA">
      <w:pPr>
        <w:jc w:val="center"/>
        <w:rPr>
          <w:lang w:val="ru-RU"/>
        </w:rPr>
      </w:pPr>
      <w:r>
        <w:rPr>
          <w:lang w:val="ru-RU"/>
        </w:rPr>
        <w:t>Рисунок 1</w:t>
      </w:r>
      <w:r w:rsidRPr="00D311EA">
        <w:rPr>
          <w:lang w:val="ru-RU"/>
        </w:rPr>
        <w:t xml:space="preserve">: </w:t>
      </w:r>
      <w:r>
        <w:rPr>
          <w:lang w:val="ru-RU"/>
        </w:rPr>
        <w:t xml:space="preserve">корреляция </w:t>
      </w:r>
      <w:r>
        <w:t>SRS</w:t>
      </w:r>
      <w:r w:rsidRPr="00D311EA">
        <w:rPr>
          <w:lang w:val="ru-RU"/>
        </w:rPr>
        <w:t xml:space="preserve"> </w:t>
      </w:r>
      <w:r>
        <w:rPr>
          <w:lang w:val="ru-RU"/>
        </w:rPr>
        <w:t>последовательностей с разным циклическим сдвигом.</w:t>
      </w:r>
    </w:p>
    <w:p w:rsidR="00D7466C" w:rsidRDefault="00D7466C" w:rsidP="00D311E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5C4D0F" wp14:editId="6204F06B">
            <wp:extent cx="59436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_co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6C" w:rsidRPr="00D7466C" w:rsidRDefault="00D7466C" w:rsidP="00D311EA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D7466C">
        <w:rPr>
          <w:lang w:val="ru-RU"/>
        </w:rPr>
        <w:t>:</w:t>
      </w:r>
      <w:r>
        <w:rPr>
          <w:lang w:val="ru-RU"/>
        </w:rPr>
        <w:t xml:space="preserve"> автокорреляция </w:t>
      </w:r>
      <w:r>
        <w:t>SRS</w:t>
      </w:r>
      <w:r w:rsidRPr="00D7466C">
        <w:rPr>
          <w:lang w:val="ru-RU"/>
        </w:rPr>
        <w:t xml:space="preserve"> </w:t>
      </w:r>
      <w:r>
        <w:rPr>
          <w:lang w:val="ru-RU"/>
        </w:rPr>
        <w:t xml:space="preserve">последовательности </w:t>
      </w:r>
      <w:r>
        <w:t>c</w:t>
      </w:r>
      <w:r w:rsidRPr="00D7466C">
        <w:rPr>
          <w:lang w:val="ru-RU"/>
        </w:rPr>
        <w:t xml:space="preserve"> </w:t>
      </w:r>
      <w:proofErr w:type="spellStart"/>
      <w:r>
        <w:t>cs</w:t>
      </w:r>
      <w:proofErr w:type="spellEnd"/>
      <w:r w:rsidRPr="00D7466C">
        <w:rPr>
          <w:lang w:val="ru-RU"/>
        </w:rPr>
        <w:t>=</w:t>
      </w:r>
      <w:r>
        <w:rPr>
          <w:lang w:val="ru-RU"/>
        </w:rPr>
        <w:t>0.</w:t>
      </w:r>
    </w:p>
    <w:p w:rsidR="00D7466C" w:rsidRDefault="00D7466C" w:rsidP="00D311E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882D02" wp14:editId="6D339465">
            <wp:extent cx="5727700" cy="31820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_corr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11" cy="31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6C" w:rsidRPr="00D7466C" w:rsidRDefault="00D7466C" w:rsidP="00D311EA">
      <w:pPr>
        <w:jc w:val="center"/>
        <w:rPr>
          <w:lang w:val="ru-RU"/>
        </w:rPr>
      </w:pPr>
      <w:r>
        <w:rPr>
          <w:lang w:val="ru-RU"/>
        </w:rPr>
        <w:t>Рисунок 3</w:t>
      </w:r>
      <w:r w:rsidRPr="00D7466C">
        <w:rPr>
          <w:lang w:val="ru-RU"/>
        </w:rPr>
        <w:t>:</w:t>
      </w:r>
      <w:r>
        <w:rPr>
          <w:lang w:val="ru-RU"/>
        </w:rPr>
        <w:t xml:space="preserve"> корреляция последовательностей с </w:t>
      </w:r>
      <w:proofErr w:type="spellStart"/>
      <w:r>
        <w:t>cs</w:t>
      </w:r>
      <w:proofErr w:type="spellEnd"/>
      <w:r w:rsidRPr="00D7466C">
        <w:rPr>
          <w:lang w:val="ru-RU"/>
        </w:rPr>
        <w:t xml:space="preserve">=0 </w:t>
      </w:r>
      <w:r>
        <w:rPr>
          <w:lang w:val="ru-RU"/>
        </w:rPr>
        <w:t xml:space="preserve">и </w:t>
      </w:r>
      <w:proofErr w:type="spellStart"/>
      <w:r>
        <w:t>cs</w:t>
      </w:r>
      <w:proofErr w:type="spellEnd"/>
      <w:r w:rsidRPr="00D7466C">
        <w:rPr>
          <w:lang w:val="ru-RU"/>
        </w:rPr>
        <w:t>=2.</w:t>
      </w:r>
    </w:p>
    <w:p w:rsidR="00FE0B9C" w:rsidRDefault="00D7466C" w:rsidP="009545FD">
      <w:pPr>
        <w:ind w:firstLine="720"/>
        <w:rPr>
          <w:lang w:val="ru-RU"/>
        </w:rPr>
      </w:pPr>
      <w:r>
        <w:rPr>
          <w:lang w:val="ru-RU"/>
        </w:rPr>
        <w:t xml:space="preserve">Как видно из рисунка 2, автокорреляция имеет ярко выраженный максимум в 0, в остальных точках ее модуль не превышает 0.07. Кросс корреляция между последовательностями с разным </w:t>
      </w:r>
      <w:proofErr w:type="spellStart"/>
      <w:r>
        <w:t>cs</w:t>
      </w:r>
      <w:proofErr w:type="spellEnd"/>
      <w:r w:rsidRPr="00DB7D09">
        <w:rPr>
          <w:lang w:val="ru-RU"/>
        </w:rPr>
        <w:t xml:space="preserve"> </w:t>
      </w:r>
      <w:r w:rsidR="00DB7D09">
        <w:rPr>
          <w:lang w:val="ru-RU"/>
        </w:rPr>
        <w:t xml:space="preserve">дает 2 </w:t>
      </w:r>
      <w:r w:rsidR="00DB7D09" w:rsidRPr="00DB7D09">
        <w:rPr>
          <w:lang w:val="ru-RU"/>
        </w:rPr>
        <w:t>“</w:t>
      </w:r>
      <w:r w:rsidR="00DB7D09">
        <w:rPr>
          <w:lang w:val="ru-RU"/>
        </w:rPr>
        <w:t>набора</w:t>
      </w:r>
      <w:r w:rsidR="00DB7D09" w:rsidRPr="00DB7D09">
        <w:rPr>
          <w:lang w:val="ru-RU"/>
        </w:rPr>
        <w:t xml:space="preserve">” </w:t>
      </w:r>
      <w:r w:rsidR="00DB7D09">
        <w:rPr>
          <w:lang w:val="ru-RU"/>
        </w:rPr>
        <w:t xml:space="preserve">максимумов вблизи точек </w:t>
      </w:r>
      <w:r w:rsidR="00DB7D09" w:rsidRPr="00DB7D09">
        <w:rPr>
          <w:lang w:val="ru-RU"/>
        </w:rPr>
        <w:t>(</w:t>
      </w:r>
      <w:r w:rsidR="00DB7D09">
        <w:rPr>
          <w:lang w:val="ru-RU"/>
        </w:rPr>
        <w:t>36*</w:t>
      </w:r>
      <w:proofErr w:type="spellStart"/>
      <w:r w:rsidR="00DB7D09">
        <w:t>cs</w:t>
      </w:r>
      <w:proofErr w:type="spellEnd"/>
      <w:r w:rsidR="00DB7D09" w:rsidRPr="00DB7D09">
        <w:rPr>
          <w:lang w:val="ru-RU"/>
        </w:rPr>
        <w:t xml:space="preserve">) </w:t>
      </w:r>
      <w:r w:rsidR="00DB7D09">
        <w:rPr>
          <w:lang w:val="ru-RU"/>
        </w:rPr>
        <w:t xml:space="preserve">и </w:t>
      </w:r>
      <w:r w:rsidR="00DB7D09" w:rsidRPr="00DB7D09">
        <w:rPr>
          <w:lang w:val="ru-RU"/>
        </w:rPr>
        <w:t>(</w:t>
      </w:r>
      <w:r w:rsidR="00DB7D09">
        <w:rPr>
          <w:lang w:val="ru-RU"/>
        </w:rPr>
        <w:t>36*</w:t>
      </w:r>
      <w:proofErr w:type="spellStart"/>
      <w:r w:rsidR="00DB7D09">
        <w:t>cs</w:t>
      </w:r>
      <w:proofErr w:type="spellEnd"/>
      <w:r w:rsidR="00DB7D09" w:rsidRPr="00DB7D09">
        <w:rPr>
          <w:lang w:val="ru-RU"/>
        </w:rPr>
        <w:t xml:space="preserve"> </w:t>
      </w:r>
      <w:r w:rsidR="00DB7D09">
        <w:rPr>
          <w:lang w:val="ru-RU"/>
        </w:rPr>
        <w:t>– 288</w:t>
      </w:r>
      <w:r w:rsidR="009545FD">
        <w:rPr>
          <w:lang w:val="ru-RU"/>
        </w:rPr>
        <w:t>), такое положение наборов является следствием того, что данные последовательности являются циклическими сдвигами друг друга, что более наглядно видно, если построить циклическую кросскорреляцию (Рис. 4).</w:t>
      </w:r>
    </w:p>
    <w:p w:rsidR="009545FD" w:rsidRDefault="009545FD" w:rsidP="009545F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ED0CB78" wp14:editId="5B1AA045">
            <wp:extent cx="5302250" cy="294569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lar_cross_c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697" cy="29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FD" w:rsidRDefault="009545FD" w:rsidP="009545FD">
      <w:pPr>
        <w:jc w:val="center"/>
        <w:rPr>
          <w:lang w:val="ru-RU"/>
        </w:rPr>
      </w:pPr>
      <w:r>
        <w:rPr>
          <w:lang w:val="ru-RU"/>
        </w:rPr>
        <w:t>Рисунок 4</w:t>
      </w:r>
      <w:r w:rsidRPr="009545FD">
        <w:rPr>
          <w:lang w:val="ru-RU"/>
        </w:rPr>
        <w:t>:</w:t>
      </w:r>
      <w:r>
        <w:rPr>
          <w:lang w:val="ru-RU"/>
        </w:rPr>
        <w:t xml:space="preserve"> циклическая кросскорреляция </w:t>
      </w:r>
      <w:r>
        <w:t>SRS</w:t>
      </w:r>
      <w:r w:rsidRPr="009545FD">
        <w:rPr>
          <w:lang w:val="ru-RU"/>
        </w:rPr>
        <w:t xml:space="preserve"> </w:t>
      </w:r>
      <w:r>
        <w:rPr>
          <w:lang w:val="ru-RU"/>
        </w:rPr>
        <w:t xml:space="preserve">последовательностей с разным </w:t>
      </w:r>
      <w:proofErr w:type="spellStart"/>
      <w:r>
        <w:t>cs</w:t>
      </w:r>
      <w:proofErr w:type="spellEnd"/>
      <w:r w:rsidRPr="009545FD">
        <w:rPr>
          <w:lang w:val="ru-RU"/>
        </w:rPr>
        <w:t>.</w:t>
      </w:r>
    </w:p>
    <w:p w:rsidR="009545FD" w:rsidRDefault="009545FD" w:rsidP="009545FD">
      <w:pPr>
        <w:rPr>
          <w:rFonts w:eastAsiaTheme="minorEastAsia"/>
          <w:lang w:val="ru-RU"/>
        </w:rPr>
      </w:pPr>
      <w:r>
        <w:rPr>
          <w:lang w:val="ru-RU"/>
        </w:rPr>
        <w:lastRenderedPageBreak/>
        <w:tab/>
        <w:t xml:space="preserve">Так как автокорреляция имеет высокое значение только в 0, то интервал корреляции последовательности самой с собой </w:t>
      </w:r>
      <w:r w:rsidR="009F349A">
        <w:rPr>
          <w:lang w:val="ru-RU"/>
        </w:rPr>
        <w:t xml:space="preserve">практически </w:t>
      </w:r>
      <w:r>
        <w:rPr>
          <w:lang w:val="ru-RU"/>
        </w:rPr>
        <w:t>равен 0. Для корреляции разных последовательностей и</w:t>
      </w:r>
      <w:r w:rsidR="002B2252">
        <w:rPr>
          <w:lang w:val="ru-RU"/>
        </w:rPr>
        <w:t>меется два сдвига вблизи которых наблюдается высокая корреляция, и чем дальше от 0, тем мен</w:t>
      </w:r>
      <w:r w:rsidR="009F349A">
        <w:rPr>
          <w:lang w:val="ru-RU"/>
        </w:rPr>
        <w:t xml:space="preserve">ьшим по модулю и менее </w:t>
      </w:r>
      <w:r w:rsidR="002B2252">
        <w:rPr>
          <w:lang w:val="ru-RU"/>
        </w:rPr>
        <w:t>выраженным</w:t>
      </w:r>
      <w:r w:rsidR="009F349A">
        <w:rPr>
          <w:lang w:val="ru-RU"/>
        </w:rPr>
        <w:t xml:space="preserve"> по сравнению с боковыми лепестками</w:t>
      </w:r>
      <w:r w:rsidR="002B2252">
        <w:rPr>
          <w:lang w:val="ru-RU"/>
        </w:rPr>
        <w:t xml:space="preserve"> становится основной максимум по сравнению с добавочными, соответственно растет интервал корреляции.</w:t>
      </w:r>
      <w:r>
        <w:rPr>
          <w:lang w:val="ru-RU"/>
        </w:rPr>
        <w:t xml:space="preserve"> </w:t>
      </w:r>
      <w:r w:rsidR="009F349A">
        <w:rPr>
          <w:lang w:val="ru-RU"/>
        </w:rPr>
        <w:t xml:space="preserve"> Из рисунка 1 видно, что чем больше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count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>)</m:t>
        </m:r>
      </m:oMath>
      <w:r w:rsidR="009F349A" w:rsidRPr="009F349A">
        <w:rPr>
          <w:rFonts w:eastAsiaTheme="minorEastAsia"/>
          <w:lang w:val="ru-RU"/>
        </w:rPr>
        <w:t xml:space="preserve">, </w:t>
      </w:r>
      <w:r w:rsidR="009F349A">
        <w:rPr>
          <w:rFonts w:eastAsiaTheme="minorEastAsia"/>
          <w:lang w:val="ru-RU"/>
        </w:rPr>
        <w:t>тем меньше по модулю основной пик кросскорреляции с интерференционной составляющей и больше расстояние между  пиком автокорреляционной ф</w:t>
      </w:r>
      <w:r w:rsidR="0006264F">
        <w:rPr>
          <w:rFonts w:eastAsiaTheme="minorEastAsia"/>
          <w:lang w:val="ru-RU"/>
        </w:rPr>
        <w:t>ункции и пиками кросскорреляции</w:t>
      </w:r>
      <w:r w:rsidR="00422375">
        <w:rPr>
          <w:rFonts w:eastAsiaTheme="minorEastAsia"/>
          <w:lang w:val="ru-RU"/>
        </w:rPr>
        <w:t>.</w:t>
      </w:r>
    </w:p>
    <w:p w:rsidR="00235537" w:rsidRDefault="00235537" w:rsidP="00235537">
      <w:pPr>
        <w:pStyle w:val="Heading1"/>
        <w:rPr>
          <w:lang w:val="ru-RU"/>
        </w:rPr>
      </w:pPr>
      <w:bookmarkStart w:id="2" w:name="_Toc89770520"/>
      <w:r>
        <w:rPr>
          <w:lang w:val="ru-RU"/>
        </w:rPr>
        <w:t>Оценка частотной характеристики канала</w:t>
      </w:r>
      <w:bookmarkEnd w:id="2"/>
    </w:p>
    <w:p w:rsidR="00C05D29" w:rsidRDefault="00C05D29" w:rsidP="00235537">
      <w:pPr>
        <w:rPr>
          <w:lang w:val="ru-RU"/>
        </w:rPr>
      </w:pPr>
      <w:r>
        <w:rPr>
          <w:lang w:val="ru-RU"/>
        </w:rPr>
        <w:t>Рассмотрим частотную и импульсную характеристики канала (Рис. 5, 6</w:t>
      </w:r>
      <w:r w:rsidR="00FB07AD" w:rsidRPr="00FB07AD">
        <w:rPr>
          <w:lang w:val="ru-RU"/>
        </w:rPr>
        <w:t>, 7</w:t>
      </w:r>
      <w:r>
        <w:rPr>
          <w:lang w:val="ru-RU"/>
        </w:rPr>
        <w:t>)</w:t>
      </w:r>
      <w:r w:rsidRPr="00C05D29">
        <w:rPr>
          <w:lang w:val="ru-RU"/>
        </w:rPr>
        <w:t xml:space="preserve">. </w:t>
      </w:r>
    </w:p>
    <w:p w:rsidR="00C05D29" w:rsidRDefault="00C05D29" w:rsidP="00C05D29">
      <w:pPr>
        <w:jc w:val="center"/>
        <w:rPr>
          <w:lang w:val="ru-RU"/>
        </w:rPr>
      </w:pPr>
      <w:r w:rsidRPr="00C05D29">
        <w:rPr>
          <w:noProof/>
        </w:rPr>
        <w:drawing>
          <wp:inline distT="0" distB="0" distL="0" distR="0" wp14:anchorId="278363A4" wp14:editId="7692459E">
            <wp:extent cx="5327650" cy="248965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606" cy="25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29" w:rsidRDefault="00C05D29" w:rsidP="00C05D29">
      <w:pPr>
        <w:jc w:val="center"/>
        <w:rPr>
          <w:rFonts w:eastAsiaTheme="minorEastAsia"/>
          <w:lang w:val="ru-RU"/>
        </w:rPr>
      </w:pPr>
      <w:r>
        <w:rPr>
          <w:lang w:val="ru-RU"/>
        </w:rPr>
        <w:t>Рисунок 5</w:t>
      </w:r>
      <w:r w:rsidRPr="00C05D29">
        <w:rPr>
          <w:lang w:val="ru-RU"/>
        </w:rPr>
        <w:t>:</w:t>
      </w:r>
      <w:r>
        <w:rPr>
          <w:lang w:val="ru-RU"/>
        </w:rPr>
        <w:t xml:space="preserve"> Частотная характеристика канала (между </w:t>
      </w:r>
      <w:r w:rsidRPr="00C05D29">
        <w:rPr>
          <w:lang w:val="ru-RU"/>
        </w:rPr>
        <w:t xml:space="preserve">антеннами 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05D29">
        <w:rPr>
          <w:lang w:val="ru-RU"/>
        </w:rPr>
        <w:t xml:space="preserve"> </w:t>
      </w:r>
      <w:r>
        <w:rPr>
          <w:lang w:val="ru-RU"/>
        </w:rPr>
        <w:t>и</w:t>
      </w:r>
      <w:r w:rsidRPr="00C05D29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b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05D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момент времени 0</w:t>
      </w:r>
      <w:r w:rsidR="002A684D">
        <w:rPr>
          <w:rFonts w:eastAsiaTheme="minorEastAsia"/>
          <w:lang w:val="ru-RU"/>
        </w:rPr>
        <w:t xml:space="preserve"> канал </w:t>
      </w:r>
      <w:r w:rsidR="002A684D">
        <w:rPr>
          <w:rFonts w:eastAsiaTheme="minorEastAsia"/>
        </w:rPr>
        <w:t>PATH</w:t>
      </w:r>
      <w:r w:rsidRPr="00C05D29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</w:p>
    <w:p w:rsidR="00C05D29" w:rsidRDefault="00C05D29" w:rsidP="00C05D29">
      <w:pPr>
        <w:jc w:val="center"/>
        <w:rPr>
          <w:lang w:val="ru-RU"/>
        </w:rPr>
      </w:pPr>
      <w:r w:rsidRPr="00C05D29">
        <w:rPr>
          <w:noProof/>
        </w:rPr>
        <w:drawing>
          <wp:inline distT="0" distB="0" distL="0" distR="0" wp14:anchorId="6485C3B2" wp14:editId="7AB162E5">
            <wp:extent cx="5175250" cy="2469302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525" cy="24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29" w:rsidRDefault="00C05D29" w:rsidP="00C05D29">
      <w:pPr>
        <w:jc w:val="center"/>
        <w:rPr>
          <w:rFonts w:eastAsiaTheme="minorEastAsia"/>
          <w:lang w:val="ru-RU"/>
        </w:rPr>
      </w:pPr>
      <w:r>
        <w:rPr>
          <w:lang w:val="ru-RU"/>
        </w:rPr>
        <w:t>Рисунок 6</w:t>
      </w:r>
      <w:r w:rsidRPr="00C05D29">
        <w:rPr>
          <w:lang w:val="ru-RU"/>
        </w:rPr>
        <w:t xml:space="preserve">: </w:t>
      </w:r>
      <w:r>
        <w:rPr>
          <w:lang w:val="ru-RU"/>
        </w:rPr>
        <w:t xml:space="preserve">импульсная характеристика канала (между </w:t>
      </w:r>
      <w:r w:rsidRPr="00C05D29">
        <w:rPr>
          <w:lang w:val="ru-RU"/>
        </w:rPr>
        <w:t xml:space="preserve">антеннами 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05D29">
        <w:rPr>
          <w:lang w:val="ru-RU"/>
        </w:rPr>
        <w:t xml:space="preserve"> </w:t>
      </w:r>
      <w:r>
        <w:rPr>
          <w:lang w:val="ru-RU"/>
        </w:rPr>
        <w:t>и</w:t>
      </w:r>
      <w:r w:rsidRPr="00C05D29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b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05D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момент времени 0</w:t>
      </w:r>
      <w:r w:rsidR="002A684D">
        <w:rPr>
          <w:rFonts w:eastAsiaTheme="minorEastAsia"/>
          <w:lang w:val="ru-RU"/>
        </w:rPr>
        <w:t xml:space="preserve"> канал </w:t>
      </w:r>
      <w:r w:rsidR="002A684D">
        <w:rPr>
          <w:rFonts w:eastAsiaTheme="minorEastAsia"/>
        </w:rPr>
        <w:t>PATH</w:t>
      </w:r>
      <w:r w:rsidRPr="00C05D29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</w:p>
    <w:p w:rsidR="00C05D29" w:rsidRPr="00263346" w:rsidRDefault="002A684D" w:rsidP="00C05D2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ab/>
        <w:t>Из рисунка 6</w:t>
      </w:r>
      <w:r w:rsidR="00FB07AD">
        <w:rPr>
          <w:rFonts w:eastAsiaTheme="minorEastAsia"/>
          <w:lang w:val="ru-RU"/>
        </w:rPr>
        <w:t xml:space="preserve"> видно, что </w:t>
      </w:r>
      <w:r>
        <w:rPr>
          <w:rFonts w:eastAsiaTheme="minorEastAsia"/>
          <w:lang w:val="ru-RU"/>
        </w:rPr>
        <w:t>импульсная характеристика</w:t>
      </w:r>
      <w:r w:rsidRPr="002A684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локализована вблизи 0, что на приемной стороне (стороне базовой станции) должно выполняться вследствие временной синхронизации </w:t>
      </w:r>
      <w:r w:rsidRPr="002A684D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в нашем случае </w:t>
      </w:r>
      <w:r>
        <w:rPr>
          <w:rFonts w:eastAsiaTheme="minorEastAsia"/>
        </w:rPr>
        <w:t>OFDM</w:t>
      </w:r>
      <w:r w:rsidRPr="002A684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приемника).</w:t>
      </w:r>
      <w:r w:rsidR="00721D92" w:rsidRPr="00721D92">
        <w:rPr>
          <w:rFonts w:eastAsiaTheme="minorEastAsia"/>
          <w:lang w:val="ru-RU"/>
        </w:rPr>
        <w:t xml:space="preserve"> </w:t>
      </w:r>
      <w:r w:rsidR="00721D92">
        <w:rPr>
          <w:rFonts w:eastAsiaTheme="minorEastAsia"/>
          <w:lang w:val="ru-RU"/>
        </w:rPr>
        <w:t xml:space="preserve">Так же можно попробовать найти положение импульсной характеристики как максимум корреляции, но в этом случае есть шанс перепутать максимумы соответствующие измеряемой и интерференционной импульсным характеристикам, т.к. пик интерференционной ИХ может быть выше вследствие меньшего ослабления в канале и циклического префикса </w:t>
      </w:r>
      <w:r w:rsidR="00721D92">
        <w:rPr>
          <w:rFonts w:eastAsiaTheme="minorEastAsia"/>
        </w:rPr>
        <w:t>OFDM</w:t>
      </w:r>
      <w:r w:rsidR="00721D92" w:rsidRPr="00721D92">
        <w:rPr>
          <w:rFonts w:eastAsiaTheme="minorEastAsia"/>
          <w:lang w:val="ru-RU"/>
        </w:rPr>
        <w:t xml:space="preserve"> </w:t>
      </w:r>
      <w:r w:rsidR="00721D92">
        <w:rPr>
          <w:rFonts w:eastAsiaTheme="minorEastAsia"/>
          <w:lang w:val="ru-RU"/>
        </w:rPr>
        <w:t xml:space="preserve">символа, вследствие чего корреляция будет уже выглядеть не так как на рисунке 1, а ближе к циклической корреляции на рисунке 4 (в зависимости от циклических сдвигов </w:t>
      </w:r>
      <w:proofErr w:type="spellStart"/>
      <w:r w:rsidR="00721D92">
        <w:rPr>
          <w:rFonts w:eastAsiaTheme="minorEastAsia"/>
        </w:rPr>
        <w:t>cs</w:t>
      </w:r>
      <w:proofErr w:type="spellEnd"/>
      <w:r w:rsidR="00721D92" w:rsidRPr="00721D92">
        <w:rPr>
          <w:rFonts w:eastAsiaTheme="minorEastAsia"/>
          <w:lang w:val="ru-RU"/>
        </w:rPr>
        <w:t xml:space="preserve"> </w:t>
      </w:r>
      <w:r w:rsidR="00721D92">
        <w:rPr>
          <w:rFonts w:eastAsiaTheme="minorEastAsia"/>
          <w:lang w:val="ru-RU"/>
        </w:rPr>
        <w:t>и  длины циклического префикса).</w:t>
      </w:r>
    </w:p>
    <w:p w:rsidR="002A684D" w:rsidRPr="002A684D" w:rsidRDefault="002A684D" w:rsidP="00C05D2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Рассмотрим передачу </w:t>
      </w:r>
      <w:r>
        <w:rPr>
          <w:rFonts w:eastAsiaTheme="minorEastAsia"/>
        </w:rPr>
        <w:t>SRS</w:t>
      </w:r>
      <w:r w:rsidRPr="002A684D">
        <w:rPr>
          <w:rFonts w:eastAsiaTheme="minorEastAsia"/>
          <w:lang w:val="ru-RU"/>
        </w:rPr>
        <w:t xml:space="preserve"> сигнала через канал</w:t>
      </w:r>
      <w:r>
        <w:rPr>
          <w:rFonts w:eastAsiaTheme="minorEastAsia"/>
          <w:lang w:val="ru-RU"/>
        </w:rPr>
        <w:t xml:space="preserve">. Индексами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lang w:val="ru-RU"/>
        </w:rPr>
        <w:t xml:space="preserve"> и</w:t>
      </w:r>
      <w:r w:rsidRPr="002A684D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ru-RU"/>
        </w:rPr>
        <w:t xml:space="preserve"> будем помечать сигналы и характерист</w:t>
      </w:r>
      <w:r w:rsidRPr="002A684D">
        <w:rPr>
          <w:rFonts w:eastAsiaTheme="minorEastAsia"/>
          <w:lang w:val="ru-RU"/>
        </w:rPr>
        <w:t>ики канала основного и интерференцеонного пользователей</w:t>
      </w:r>
      <w:r w:rsidR="007A442E">
        <w:rPr>
          <w:rFonts w:eastAsiaTheme="minorEastAsia"/>
          <w:lang w:val="ru-RU"/>
        </w:rPr>
        <w:t xml:space="preserve"> соответственно</w:t>
      </w:r>
      <w:r w:rsidRPr="002A684D">
        <w:rPr>
          <w:rFonts w:eastAsiaTheme="minorEastAsia"/>
          <w:lang w:val="ru-RU"/>
        </w:rPr>
        <w:t>.</w:t>
      </w:r>
    </w:p>
    <w:p w:rsidR="002A684D" w:rsidRPr="007A442E" w:rsidRDefault="007A442E" w:rsidP="00C05D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u</m:t>
              </m:r>
            </m:sub>
            <m:sup>
              <m:r>
                <w:rPr>
                  <w:rFonts w:ascii="Cambria Math" w:hAnsi="Cambria Math"/>
                  <w:lang w:val="ru-RU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+n</m:t>
          </m:r>
        </m:oMath>
      </m:oMathPara>
    </w:p>
    <w:p w:rsidR="007A442E" w:rsidRPr="007A442E" w:rsidRDefault="007A442E" w:rsidP="007A442E">
      <w:pPr>
        <w:jc w:val="center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(оператор * обозначает поэлементное перемножение)</w:t>
      </w:r>
    </w:p>
    <w:p w:rsidR="007A442E" w:rsidRDefault="007A442E" w:rsidP="00C05D2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Рассмотрим </w:t>
      </w:r>
      <w:r>
        <w:rPr>
          <w:rFonts w:eastAsiaTheme="minorEastAsia"/>
        </w:rPr>
        <w:t>LS</w:t>
      </w:r>
      <w:r w:rsidRPr="007A442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оценку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LS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sup>
            </m:sSubSup>
          </m:e>
        </m:acc>
      </m:oMath>
      <w:r w:rsidRPr="007A442E">
        <w:rPr>
          <w:rFonts w:eastAsiaTheme="minorEastAsia"/>
          <w:lang w:val="ru-RU"/>
        </w:rPr>
        <w:t>:</w:t>
      </w:r>
    </w:p>
    <w:p w:rsidR="00C05D29" w:rsidRPr="007A442E" w:rsidRDefault="00263346" w:rsidP="00C05D29">
      <w:pPr>
        <w:jc w:val="center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LS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y=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:rsidR="007A442E" w:rsidRPr="00F16099" w:rsidRDefault="007A442E" w:rsidP="007A442E">
      <w:pPr>
        <w:rPr>
          <w:lang w:val="ru-RU"/>
        </w:rPr>
      </w:pPr>
      <w:r>
        <w:rPr>
          <w:rFonts w:eastAsiaTheme="minorEastAsia"/>
          <w:lang w:val="ru-RU"/>
        </w:rPr>
        <w:t xml:space="preserve">В полученной оценке присутствует слагаемое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</m:oMath>
      <w:r>
        <w:rPr>
          <w:rFonts w:eastAsiaTheme="minorEastAsia"/>
          <w:lang w:val="ru-RU"/>
        </w:rPr>
        <w:t xml:space="preserve"> соответствующие интерференции с сигналом другого пользователя. Стоит заметить, что перемножение в частотной области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val="ru-RU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дает циклическую свертку во временной области, которая представляет собой единичный импульс со сдвигом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*36</m:t>
        </m:r>
      </m:oMath>
      <w:r>
        <w:rPr>
          <w:rFonts w:eastAsiaTheme="minorEastAsia"/>
          <w:lang w:val="ru-RU"/>
        </w:rPr>
        <w:t xml:space="preserve"> (Рис. 4). Т.е. во временной области оценка </w:t>
      </w:r>
      <m:oMath>
        <m:r>
          <w:rPr>
            <w:rFonts w:ascii="Cambria Math" w:eastAsiaTheme="minorEastAsia" w:hAnsi="Cambria Math"/>
          </w:rPr>
          <m:t>ifft</m:t>
        </m:r>
        <m:r>
          <w:rPr>
            <w:rFonts w:ascii="Cambria Math" w:eastAsiaTheme="minorEastAsia" w:hAnsi="Cambria Math"/>
            <w:lang w:val="ru-RU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LS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sup>
            </m:sSubSup>
          </m:e>
        </m:acc>
        <m:r>
          <w:rPr>
            <w:rFonts w:ascii="Cambria Math" w:eastAsiaTheme="minorEastAsia" w:hAnsi="Cambria Math"/>
            <w:lang w:val="ru-RU"/>
          </w:rPr>
          <m:t>)</m:t>
        </m:r>
      </m:oMath>
      <w:r w:rsidRPr="007A442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содержит импульсную характеристику канала пользователя </w:t>
      </w:r>
      <m:oMath>
        <m:r>
          <w:rPr>
            <w:rFonts w:ascii="Cambria Math" w:eastAsiaTheme="minorEastAsia" w:hAnsi="Cambria Math"/>
          </w:rPr>
          <m:t>ifft</m:t>
        </m:r>
        <m:r>
          <w:rPr>
            <w:rFonts w:ascii="Cambria Math" w:eastAsiaTheme="minorEastAsia" w:hAnsi="Cambria Math"/>
            <w:lang w:val="ru-RU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оценку канала интерферирующего пользвателя, но сдвинутую на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*36</m:t>
        </m:r>
      </m:oMath>
      <w:r w:rsidRPr="007A442E">
        <w:rPr>
          <w:rFonts w:eastAsiaTheme="minorEastAsia"/>
          <w:lang w:val="ru-RU"/>
        </w:rPr>
        <w:t xml:space="preserve"> </w:t>
      </w:r>
      <w:r w:rsidR="00F16099">
        <w:rPr>
          <w:rFonts w:eastAsiaTheme="minorEastAsia"/>
          <w:lang w:val="ru-RU"/>
        </w:rPr>
        <w:t>отсчетов, а так как импульсная характеристика локализована вблизи 0, то можно выделить нужную импульсную характеристику с помощью временного окна. На рисунках 7 изображен</w:t>
      </w:r>
      <w:r w:rsidR="000A6CC8">
        <w:rPr>
          <w:rFonts w:eastAsiaTheme="minorEastAsia"/>
          <w:lang w:val="ru-RU"/>
        </w:rPr>
        <w:t>ы</w:t>
      </w:r>
      <w:r w:rsidR="00F16099">
        <w:rPr>
          <w:rFonts w:eastAsiaTheme="minorEastAsia"/>
          <w:lang w:val="ru-RU"/>
        </w:rPr>
        <w:t xml:space="preserve"> </w:t>
      </w:r>
      <w:r w:rsidR="00F16099">
        <w:rPr>
          <w:rFonts w:eastAsiaTheme="minorEastAsia"/>
        </w:rPr>
        <w:t>LS</w:t>
      </w:r>
      <w:r w:rsidR="00F16099" w:rsidRPr="00F16099">
        <w:rPr>
          <w:rFonts w:eastAsiaTheme="minorEastAsia"/>
          <w:lang w:val="ru-RU"/>
        </w:rPr>
        <w:t xml:space="preserve"> </w:t>
      </w:r>
      <w:r w:rsidR="000A6CC8">
        <w:rPr>
          <w:rFonts w:eastAsiaTheme="minorEastAsia"/>
          <w:lang w:val="ru-RU"/>
        </w:rPr>
        <w:t>оценки</w:t>
      </w:r>
      <w:r w:rsidR="00F16099">
        <w:rPr>
          <w:rFonts w:eastAsiaTheme="minorEastAsia"/>
          <w:lang w:val="ru-RU"/>
        </w:rPr>
        <w:t xml:space="preserve"> во временной области </w:t>
      </w:r>
      <m:oMath>
        <m:r>
          <w:rPr>
            <w:rFonts w:ascii="Cambria Math" w:eastAsiaTheme="minorEastAsia" w:hAnsi="Cambria Math"/>
            <w:lang w:val="ru-RU"/>
          </w:rPr>
          <m:t>|</m:t>
        </m:r>
        <m:r>
          <w:rPr>
            <w:rFonts w:ascii="Cambria Math" w:eastAsiaTheme="minorEastAsia" w:hAnsi="Cambria Math"/>
          </w:rPr>
          <m:t>ifft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LS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lang w:val="ru-RU"/>
          </w:rPr>
          <m:t>|</m:t>
        </m:r>
      </m:oMath>
      <w:r w:rsidR="000A6CC8">
        <w:rPr>
          <w:rFonts w:eastAsiaTheme="minorEastAsia"/>
          <w:lang w:val="ru-RU"/>
        </w:rPr>
        <w:t xml:space="preserve"> в присутствии интерференции и при ее отсутствии</w:t>
      </w:r>
      <w:r w:rsidR="00F16099">
        <w:rPr>
          <w:rFonts w:eastAsiaTheme="minorEastAsia"/>
          <w:lang w:val="ru-RU"/>
        </w:rPr>
        <w:t>.</w:t>
      </w:r>
    </w:p>
    <w:p w:rsidR="009545FD" w:rsidRDefault="000A6CC8" w:rsidP="000A6CC8">
      <w:pPr>
        <w:jc w:val="center"/>
        <w:rPr>
          <w:lang w:val="ru-RU"/>
        </w:rPr>
      </w:pPr>
      <w:r w:rsidRPr="000A6CC8">
        <w:rPr>
          <w:noProof/>
        </w:rPr>
        <w:drawing>
          <wp:inline distT="0" distB="0" distL="0" distR="0" wp14:anchorId="022BE63A" wp14:editId="692BFC6F">
            <wp:extent cx="4883150" cy="236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364" cy="23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8" w:rsidRPr="00DC7284" w:rsidRDefault="000A6CC8" w:rsidP="000A6CC8">
      <w:pPr>
        <w:jc w:val="center"/>
        <w:rPr>
          <w:lang w:val="ru-RU"/>
        </w:rPr>
      </w:pPr>
      <w:r>
        <w:rPr>
          <w:lang w:val="ru-RU"/>
        </w:rPr>
        <w:t>Рис. 7</w:t>
      </w:r>
      <w:r w:rsidRPr="000A6CC8">
        <w:rPr>
          <w:lang w:val="ru-RU"/>
        </w:rPr>
        <w:t xml:space="preserve">: </w:t>
      </w:r>
      <w:r>
        <w:t>LS</w:t>
      </w:r>
      <w:r w:rsidRPr="000A6CC8">
        <w:rPr>
          <w:lang w:val="ru-RU"/>
        </w:rPr>
        <w:t xml:space="preserve"> </w:t>
      </w:r>
      <w:r>
        <w:rPr>
          <w:lang w:val="ru-RU"/>
        </w:rPr>
        <w:t>оценки импульсной характеристики канала пользователя в случае остутствия интерференции и при ее присутствии.</w:t>
      </w:r>
      <w:r w:rsidR="000C4698">
        <w:rPr>
          <w:lang w:val="ru-RU"/>
        </w:rPr>
        <w:t xml:space="preserve"> Канал </w:t>
      </w:r>
      <w:r w:rsidR="000C4698">
        <w:t>PATH</w:t>
      </w:r>
      <w:r w:rsidR="000C4698">
        <w:rPr>
          <w:lang w:val="ru-RU"/>
        </w:rPr>
        <w:t>.</w:t>
      </w:r>
    </w:p>
    <w:p w:rsidR="000A6CC8" w:rsidRPr="000A6CC8" w:rsidRDefault="000A6CC8" w:rsidP="000A6CC8">
      <w:pPr>
        <w:rPr>
          <w:lang w:val="ru-RU"/>
        </w:rPr>
      </w:pPr>
      <w:r>
        <w:rPr>
          <w:lang w:val="ru-RU"/>
        </w:rPr>
        <w:lastRenderedPageBreak/>
        <w:t xml:space="preserve">Видно, что в простейшем случае можно выделить импульсную характеристику канала пользователя прямоугольным окном от 270 до 291 (если считать циклически </w:t>
      </w:r>
      <w:r w:rsidR="00522CB3" w:rsidRPr="00522CB3">
        <w:rPr>
          <w:lang w:val="ru-RU"/>
        </w:rPr>
        <w:t xml:space="preserve">291%288 = </w:t>
      </w:r>
      <w:r>
        <w:rPr>
          <w:lang w:val="ru-RU"/>
        </w:rPr>
        <w:t>3)</w:t>
      </w:r>
      <w:r w:rsidR="00C95FD3">
        <w:rPr>
          <w:lang w:val="ru-RU"/>
        </w:rPr>
        <w:t xml:space="preserve">, т.е. ширина окна должна состовлять </w:t>
      </w:r>
      <w:r w:rsidR="00C95FD3" w:rsidRPr="00C95FD3">
        <w:rPr>
          <w:lang w:val="ru-RU"/>
        </w:rPr>
        <w:t xml:space="preserve">~10-20 </w:t>
      </w:r>
      <w:r w:rsidR="00C95FD3">
        <w:rPr>
          <w:lang w:val="ru-RU"/>
        </w:rPr>
        <w:t xml:space="preserve">отсчетов в зависимости от </w:t>
      </w:r>
      <w:r w:rsidR="00C95FD3">
        <w:t>SNR</w:t>
      </w:r>
      <w:r>
        <w:rPr>
          <w:lang w:val="ru-RU"/>
        </w:rPr>
        <w:t>.</w:t>
      </w:r>
      <w:r w:rsidRPr="000A6CC8">
        <w:rPr>
          <w:lang w:val="ru-RU"/>
        </w:rPr>
        <w:t xml:space="preserve"> </w:t>
      </w:r>
    </w:p>
    <w:p w:rsidR="000A6CC8" w:rsidRDefault="000A6CC8" w:rsidP="000A6CC8">
      <w:pPr>
        <w:rPr>
          <w:rFonts w:eastAsiaTheme="minorEastAsia"/>
          <w:lang w:val="ru-RU"/>
        </w:rPr>
      </w:pPr>
      <w:r>
        <w:rPr>
          <w:lang w:val="ru-RU"/>
        </w:rPr>
        <w:tab/>
        <w:t xml:space="preserve">Т. е. </w:t>
      </w:r>
      <m:oMath>
        <m:acc>
          <m:accPr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wnd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H</m:t>
                </m:r>
              </m:sup>
            </m:sSubSup>
          </m:e>
        </m:acc>
        <m:r>
          <w:rPr>
            <w:rFonts w:ascii="Cambria Math" w:hAnsi="Cambria Math"/>
            <w:lang w:val="ru-RU"/>
          </w:rPr>
          <m:t>=fft(ifft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LS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sup>
                </m:sSubSup>
              </m:e>
            </m:acc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*W)</m:t>
        </m:r>
      </m:oMath>
      <w:r>
        <w:rPr>
          <w:rFonts w:eastAsiaTheme="minorEastAsia"/>
          <w:lang w:val="ru-RU"/>
        </w:rPr>
        <w:t xml:space="preserve">. В случае отсутствия шума, окно можно сделать шире, что бы вошло больше мощности соответствующей импульсной характеристике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</m:oMath>
      <w:r>
        <w:rPr>
          <w:rFonts w:eastAsiaTheme="minorEastAsia"/>
          <w:lang w:val="ru-RU"/>
        </w:rPr>
        <w:t>, при большем уровне шума, окно следует сделать уже, что бы уменьшить мощность шума.</w:t>
      </w:r>
      <w:r w:rsidR="00363840" w:rsidRPr="00363840">
        <w:rPr>
          <w:rFonts w:eastAsiaTheme="minorEastAsia"/>
          <w:lang w:val="ru-RU"/>
        </w:rPr>
        <w:t xml:space="preserve"> </w:t>
      </w:r>
      <w:r w:rsidR="00363840">
        <w:rPr>
          <w:rFonts w:eastAsiaTheme="minorEastAsia"/>
          <w:lang w:val="ru-RU"/>
        </w:rPr>
        <w:t>Влияние ширины окна на точность оценки представлено на рисунках 8, 9.</w:t>
      </w:r>
    </w:p>
    <w:p w:rsidR="00363840" w:rsidRDefault="00E1196D" w:rsidP="00363840">
      <w:pPr>
        <w:jc w:val="center"/>
        <w:rPr>
          <w:lang w:val="ru-RU"/>
        </w:rPr>
      </w:pPr>
      <w:r w:rsidRPr="00E1196D">
        <w:rPr>
          <w:noProof/>
        </w:rPr>
        <w:drawing>
          <wp:inline distT="0" distB="0" distL="0" distR="0" wp14:anchorId="57802576" wp14:editId="6A2A095D">
            <wp:extent cx="5943600" cy="341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40" w:rsidRPr="000C4698" w:rsidRDefault="00363840" w:rsidP="00363840">
      <w:pPr>
        <w:jc w:val="center"/>
        <w:rPr>
          <w:lang w:val="ru-RU"/>
        </w:rPr>
      </w:pPr>
      <w:r>
        <w:rPr>
          <w:lang w:val="ru-RU"/>
        </w:rPr>
        <w:t>Рисунок 8</w:t>
      </w:r>
      <w:r w:rsidRPr="00363840">
        <w:rPr>
          <w:lang w:val="ru-RU"/>
        </w:rPr>
        <w:t xml:space="preserve">: </w:t>
      </w:r>
      <w:r>
        <w:t>LS</w:t>
      </w:r>
      <w:r>
        <w:rPr>
          <w:lang w:val="ru-RU"/>
        </w:rPr>
        <w:t xml:space="preserve"> оценка с использованием прямоугольного окна.</w:t>
      </w:r>
      <w:r w:rsidR="000C4698">
        <w:rPr>
          <w:lang w:val="ru-RU"/>
        </w:rPr>
        <w:t xml:space="preserve"> Канал </w:t>
      </w:r>
      <w:r w:rsidR="000C4698">
        <w:t>PATH.</w:t>
      </w:r>
    </w:p>
    <w:p w:rsidR="00363840" w:rsidRDefault="00E1196D" w:rsidP="00363840">
      <w:pPr>
        <w:jc w:val="center"/>
        <w:rPr>
          <w:lang w:val="ru-RU"/>
        </w:rPr>
      </w:pPr>
      <w:r w:rsidRPr="00E1196D">
        <w:rPr>
          <w:noProof/>
        </w:rPr>
        <w:drawing>
          <wp:inline distT="0" distB="0" distL="0" distR="0" wp14:anchorId="69B62B65" wp14:editId="0CABB024">
            <wp:extent cx="4298950" cy="250083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563" cy="25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40" w:rsidRPr="00DC7284" w:rsidRDefault="00363840" w:rsidP="00363840">
      <w:pPr>
        <w:jc w:val="center"/>
        <w:rPr>
          <w:lang w:val="ru-RU"/>
        </w:rPr>
      </w:pPr>
      <w:r>
        <w:rPr>
          <w:lang w:val="ru-RU"/>
        </w:rPr>
        <w:t>Рисунок 8</w:t>
      </w:r>
      <w:r w:rsidRPr="00363840">
        <w:rPr>
          <w:lang w:val="ru-RU"/>
        </w:rPr>
        <w:t xml:space="preserve">: </w:t>
      </w:r>
      <w:r>
        <w:t>LS</w:t>
      </w:r>
      <w:r>
        <w:rPr>
          <w:lang w:val="ru-RU"/>
        </w:rPr>
        <w:t xml:space="preserve"> оценка с использованием прямоугольного окна (высокое</w:t>
      </w:r>
      <w:r w:rsidRPr="00363840">
        <w:rPr>
          <w:lang w:val="ru-RU"/>
        </w:rPr>
        <w:t xml:space="preserve"> </w:t>
      </w:r>
      <w:r>
        <w:t>SNR</w:t>
      </w:r>
      <w:r>
        <w:rPr>
          <w:lang w:val="ru-RU"/>
        </w:rPr>
        <w:t>).</w:t>
      </w:r>
      <w:r w:rsidR="000C4698">
        <w:rPr>
          <w:lang w:val="ru-RU"/>
        </w:rPr>
        <w:t xml:space="preserve"> Канал</w:t>
      </w:r>
      <w:r w:rsidR="000C4698" w:rsidRPr="00DC7284">
        <w:rPr>
          <w:lang w:val="ru-RU"/>
        </w:rPr>
        <w:t xml:space="preserve"> </w:t>
      </w:r>
      <w:r w:rsidR="000C4698">
        <w:t>PATH</w:t>
      </w:r>
      <w:r w:rsidR="000C4698" w:rsidRPr="00DC7284">
        <w:rPr>
          <w:lang w:val="ru-RU"/>
        </w:rPr>
        <w:t>.</w:t>
      </w:r>
    </w:p>
    <w:p w:rsidR="00005BC0" w:rsidRPr="00E1196D" w:rsidRDefault="00363840" w:rsidP="00363840">
      <w:pPr>
        <w:rPr>
          <w:lang w:val="ru-RU"/>
        </w:rPr>
      </w:pPr>
      <w:r>
        <w:rPr>
          <w:lang w:val="ru-RU"/>
        </w:rPr>
        <w:lastRenderedPageBreak/>
        <w:tab/>
        <w:t>Чуть более сложным</w:t>
      </w:r>
      <w:r w:rsidR="00E1196D">
        <w:rPr>
          <w:lang w:val="ru-RU"/>
        </w:rPr>
        <w:t>,</w:t>
      </w:r>
      <w:r w:rsidR="00E1196D" w:rsidRPr="00E1196D">
        <w:rPr>
          <w:lang w:val="ru-RU"/>
        </w:rPr>
        <w:t xml:space="preserve"> </w:t>
      </w:r>
      <w:r w:rsidR="00E1196D">
        <w:rPr>
          <w:lang w:val="ru-RU"/>
        </w:rPr>
        <w:t>но чуть</w:t>
      </w:r>
      <w:r>
        <w:rPr>
          <w:lang w:val="ru-RU"/>
        </w:rPr>
        <w:t xml:space="preserve"> более эффективным</w:t>
      </w:r>
      <w:r w:rsidR="00E1196D">
        <w:rPr>
          <w:lang w:val="ru-RU"/>
        </w:rPr>
        <w:t xml:space="preserve"> и универсальным</w:t>
      </w:r>
      <w:r>
        <w:rPr>
          <w:lang w:val="ru-RU"/>
        </w:rPr>
        <w:t xml:space="preserve"> способом будет взять прямоугольное окно покрывающее всю область соответствующую нашему циклическому сдвигу (т.е. </w:t>
      </w:r>
      <w:r w:rsidR="00005BC0">
        <w:rPr>
          <w:lang w:val="ru-RU"/>
        </w:rPr>
        <w:t>[-17, 18] всего 36 отсчетов на сдвиг) и внутри этой области дополнительно занулить те части в которых</w:t>
      </w:r>
      <w:r w:rsidR="00005BC0" w:rsidRPr="00005BC0">
        <w:rPr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ifft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H</m:t>
                        </m:r>
                      </m:sup>
                    </m:sSubSup>
                  </m:e>
                </m:acc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&lt;3*std(noise)/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rad>
      </m:oMath>
      <w:r w:rsidR="00005BC0">
        <w:rPr>
          <w:rFonts w:eastAsiaTheme="minorEastAsia"/>
          <w:lang w:val="ru-RU"/>
        </w:rPr>
        <w:t xml:space="preserve">, в данном случае предположим, что мощность шума известна из измерений других модулей, хотя точность оценки может повлиять на точность оценки канальной характеристики. Деление на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rad>
      </m:oMath>
      <w:r w:rsidR="00005BC0">
        <w:rPr>
          <w:rFonts w:eastAsiaTheme="minorEastAsia"/>
          <w:lang w:val="ru-RU"/>
        </w:rPr>
        <w:t xml:space="preserve"> в данном случае необходимо ввиду того, что деление на </w:t>
      </w:r>
      <w:r w:rsidR="00005BC0">
        <w:rPr>
          <w:rFonts w:eastAsiaTheme="minorEastAsia"/>
        </w:rPr>
        <w:t>N</w:t>
      </w:r>
      <w:r w:rsidR="00005BC0" w:rsidRPr="00005BC0">
        <w:rPr>
          <w:rFonts w:eastAsiaTheme="minorEastAsia"/>
          <w:lang w:val="ru-RU"/>
        </w:rPr>
        <w:t xml:space="preserve"> </w:t>
      </w:r>
      <w:r w:rsidR="00005BC0">
        <w:rPr>
          <w:rFonts w:eastAsiaTheme="minorEastAsia"/>
          <w:lang w:val="ru-RU"/>
        </w:rPr>
        <w:t xml:space="preserve">производится в </w:t>
      </w:r>
      <m:oMath>
        <m:r>
          <w:rPr>
            <w:rFonts w:ascii="Cambria Math" w:eastAsiaTheme="minorEastAsia" w:hAnsi="Cambria Math"/>
          </w:rPr>
          <m:t>ifft</m:t>
        </m:r>
      </m:oMath>
      <w:r w:rsidR="00005BC0" w:rsidRPr="00005BC0">
        <w:rPr>
          <w:rFonts w:eastAsiaTheme="minorEastAsia"/>
          <w:lang w:val="ru-RU"/>
        </w:rPr>
        <w:t>.</w:t>
      </w:r>
      <w:r w:rsidR="00005BC0">
        <w:rPr>
          <w:rFonts w:eastAsiaTheme="minorEastAsia"/>
          <w:lang w:val="ru-RU"/>
        </w:rPr>
        <w:t xml:space="preserve"> Данный метод дает </w:t>
      </w:r>
      <w:r w:rsidR="00E1196D">
        <w:rPr>
          <w:rFonts w:eastAsiaTheme="minorEastAsia"/>
          <w:lang w:val="ru-RU"/>
        </w:rPr>
        <w:t xml:space="preserve">хорошую оценку при высоком </w:t>
      </w:r>
      <w:r w:rsidR="00E1196D">
        <w:rPr>
          <w:rFonts w:eastAsiaTheme="minorEastAsia"/>
        </w:rPr>
        <w:t>SNR</w:t>
      </w:r>
      <w:r w:rsidR="00E1196D">
        <w:rPr>
          <w:rFonts w:eastAsiaTheme="minorEastAsia"/>
          <w:lang w:val="ru-RU"/>
        </w:rPr>
        <w:t xml:space="preserve"> (примерно такуюже как и широкое</w:t>
      </w:r>
      <w:r w:rsidR="005770BF">
        <w:rPr>
          <w:rFonts w:eastAsiaTheme="minorEastAsia"/>
          <w:lang w:val="ru-RU"/>
        </w:rPr>
        <w:t xml:space="preserve"> окно рис. 9).</w:t>
      </w:r>
    </w:p>
    <w:p w:rsidR="00363840" w:rsidRDefault="00E1196D" w:rsidP="00363840">
      <w:pPr>
        <w:jc w:val="center"/>
        <w:rPr>
          <w:lang w:val="ru-RU"/>
        </w:rPr>
      </w:pPr>
      <w:r w:rsidRPr="00E1196D">
        <w:rPr>
          <w:noProof/>
        </w:rPr>
        <w:drawing>
          <wp:inline distT="0" distB="0" distL="0" distR="0" wp14:anchorId="3190FE84" wp14:editId="2280D297">
            <wp:extent cx="5238750" cy="2960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809" cy="29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6D" w:rsidRPr="000C4698" w:rsidRDefault="00E1196D" w:rsidP="00363840">
      <w:pPr>
        <w:jc w:val="center"/>
        <w:rPr>
          <w:lang w:val="ru-RU"/>
        </w:rPr>
      </w:pPr>
      <w:r>
        <w:rPr>
          <w:lang w:val="ru-RU"/>
        </w:rPr>
        <w:t>Рисунок 9</w:t>
      </w:r>
      <w:r w:rsidRPr="00E1196D">
        <w:rPr>
          <w:lang w:val="ru-RU"/>
        </w:rPr>
        <w:t>:</w:t>
      </w:r>
      <w:r>
        <w:rPr>
          <w:lang w:val="ru-RU"/>
        </w:rPr>
        <w:t xml:space="preserve"> сравнение автоматического окна с фиксированным прямоугольным </w:t>
      </w:r>
      <w:r w:rsidR="005770BF">
        <w:rPr>
          <w:lang w:val="ru-RU"/>
        </w:rPr>
        <w:t xml:space="preserve">при  высоком </w:t>
      </w:r>
      <w:r w:rsidR="005770BF">
        <w:t>SNR</w:t>
      </w:r>
      <w:r w:rsidR="000C4698" w:rsidRPr="000C4698">
        <w:rPr>
          <w:lang w:val="ru-RU"/>
        </w:rPr>
        <w:t xml:space="preserve">. </w:t>
      </w:r>
      <w:r w:rsidR="000C4698">
        <w:rPr>
          <w:lang w:val="ru-RU"/>
        </w:rPr>
        <w:t>Канал</w:t>
      </w:r>
      <w:r w:rsidR="000C4698">
        <w:t xml:space="preserve"> PATH</w:t>
      </w:r>
      <w:r w:rsidR="000C4698">
        <w:rPr>
          <w:lang w:val="ru-RU"/>
        </w:rPr>
        <w:t>.</w:t>
      </w:r>
    </w:p>
    <w:p w:rsidR="005770BF" w:rsidRDefault="005770BF" w:rsidP="00363840">
      <w:pPr>
        <w:jc w:val="center"/>
        <w:rPr>
          <w:lang w:val="ru-RU"/>
        </w:rPr>
      </w:pPr>
      <w:r w:rsidRPr="005770BF">
        <w:rPr>
          <w:noProof/>
        </w:rPr>
        <w:lastRenderedPageBreak/>
        <w:drawing>
          <wp:inline distT="0" distB="0" distL="0" distR="0" wp14:anchorId="431BAD04" wp14:editId="17C95B35">
            <wp:extent cx="5505450" cy="30538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695" cy="3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F" w:rsidRPr="00DC7284" w:rsidRDefault="005770BF" w:rsidP="005770BF">
      <w:pPr>
        <w:jc w:val="center"/>
        <w:rPr>
          <w:lang w:val="ru-RU"/>
        </w:rPr>
      </w:pPr>
      <w:r>
        <w:rPr>
          <w:lang w:val="ru-RU"/>
        </w:rPr>
        <w:t>Рисунок 10</w:t>
      </w:r>
      <w:r w:rsidRPr="00E1196D">
        <w:rPr>
          <w:lang w:val="ru-RU"/>
        </w:rPr>
        <w:t>:</w:t>
      </w:r>
      <w:r>
        <w:rPr>
          <w:lang w:val="ru-RU"/>
        </w:rPr>
        <w:t xml:space="preserve"> сравнение автоматического окна с фиксированным прямоугольным при  низком </w:t>
      </w:r>
      <w:r>
        <w:t>SNR</w:t>
      </w:r>
      <w:r>
        <w:rPr>
          <w:lang w:val="ru-RU"/>
        </w:rPr>
        <w:t>.</w:t>
      </w:r>
      <w:r w:rsidR="000C4698" w:rsidRPr="000C4698">
        <w:rPr>
          <w:lang w:val="ru-RU"/>
        </w:rPr>
        <w:t xml:space="preserve"> </w:t>
      </w:r>
      <w:r w:rsidR="000C4698">
        <w:rPr>
          <w:lang w:val="ru-RU"/>
        </w:rPr>
        <w:t xml:space="preserve">Канал </w:t>
      </w:r>
      <w:r w:rsidR="000C4698">
        <w:t>PATH</w:t>
      </w:r>
      <w:r w:rsidR="000C4698" w:rsidRPr="00DC7284">
        <w:rPr>
          <w:lang w:val="ru-RU"/>
        </w:rPr>
        <w:t>.</w:t>
      </w:r>
    </w:p>
    <w:p w:rsidR="005770BF" w:rsidRPr="00DC7284" w:rsidRDefault="005770BF" w:rsidP="005770BF">
      <w:pPr>
        <w:rPr>
          <w:lang w:val="ru-RU"/>
        </w:rPr>
      </w:pPr>
      <w:r>
        <w:rPr>
          <w:lang w:val="ru-RU"/>
        </w:rPr>
        <w:t xml:space="preserve">При низком </w:t>
      </w:r>
      <w:r>
        <w:t>SNR</w:t>
      </w:r>
      <w:r w:rsidRPr="005770BF">
        <w:rPr>
          <w:lang w:val="ru-RU"/>
        </w:rPr>
        <w:t xml:space="preserve"> </w:t>
      </w:r>
      <w:r>
        <w:rPr>
          <w:lang w:val="ru-RU"/>
        </w:rPr>
        <w:t>данный метод в некоторой степени проигрывает прямоугольному окну с правильно подобранным размером</w:t>
      </w:r>
      <w:r w:rsidR="00C75627" w:rsidRPr="00C75627">
        <w:rPr>
          <w:lang w:val="ru-RU"/>
        </w:rPr>
        <w:t xml:space="preserve"> (</w:t>
      </w:r>
      <w:r w:rsidR="00791E3E">
        <w:rPr>
          <w:lang w:val="ru-RU"/>
        </w:rPr>
        <w:t>Рис. 10)</w:t>
      </w:r>
      <w:r>
        <w:rPr>
          <w:lang w:val="ru-RU"/>
        </w:rPr>
        <w:t>.</w:t>
      </w:r>
    </w:p>
    <w:p w:rsidR="00791E3E" w:rsidRDefault="00791E3E" w:rsidP="005770BF">
      <w:pPr>
        <w:rPr>
          <w:lang w:val="ru-RU"/>
        </w:rPr>
      </w:pPr>
    </w:p>
    <w:p w:rsidR="00791E3E" w:rsidRPr="0035659B" w:rsidRDefault="00791E3E" w:rsidP="00791E3E">
      <w:pPr>
        <w:pStyle w:val="Heading1"/>
        <w:rPr>
          <w:lang w:val="ru-RU"/>
        </w:rPr>
      </w:pPr>
      <w:bookmarkStart w:id="3" w:name="_Toc89770521"/>
      <w:r>
        <w:t>BER</w:t>
      </w:r>
      <w:bookmarkEnd w:id="3"/>
    </w:p>
    <w:p w:rsidR="005770BF" w:rsidRPr="00BD1266" w:rsidRDefault="0035659B" w:rsidP="0035659B">
      <w:pPr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Оценим </w:t>
      </w:r>
      <w:r>
        <w:t>BER</w:t>
      </w:r>
      <w:r w:rsidRPr="0035659B">
        <w:rPr>
          <w:lang w:val="ru-RU"/>
        </w:rPr>
        <w:t xml:space="preserve"> </w:t>
      </w:r>
      <w:r>
        <w:rPr>
          <w:lang w:val="ru-RU"/>
        </w:rPr>
        <w:t xml:space="preserve">при передаче через канал искользуя </w:t>
      </w:r>
      <w:r>
        <w:t>precoding</w:t>
      </w:r>
      <w:r w:rsidRPr="0035659B">
        <w:rPr>
          <w:lang w:val="ru-RU"/>
        </w:rPr>
        <w:t xml:space="preserve"> </w:t>
      </w:r>
      <w:r>
        <w:rPr>
          <w:lang w:val="ru-RU"/>
        </w:rPr>
        <w:t xml:space="preserve">вектора полученные на основе оценки матрицы </w:t>
      </w:r>
      <w:r>
        <w:t>H</w:t>
      </w:r>
      <w:r>
        <w:rPr>
          <w:lang w:val="ru-RU"/>
        </w:rPr>
        <w:t>. Для этого была произведена оценка канальной характеристики для каждой антенны б</w:t>
      </w:r>
      <w:r w:rsidR="000C4698">
        <w:rPr>
          <w:lang w:val="ru-RU"/>
        </w:rPr>
        <w:t xml:space="preserve">азовой станции, в качестве прекодинг вектора выбирался первый (единственный, совпадающий с точностью до множителя с самим вектором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H</m:t>
            </m:r>
          </m:sup>
        </m:sSup>
      </m:oMath>
      <w:r w:rsidR="000C4698" w:rsidRPr="000C4698">
        <w:rPr>
          <w:rFonts w:eastAsiaTheme="minorEastAsia"/>
          <w:lang w:val="ru-RU"/>
        </w:rPr>
        <w:t xml:space="preserve">) </w:t>
      </w:r>
      <w:r w:rsidR="000C4698">
        <w:rPr>
          <w:rFonts w:eastAsiaTheme="minorEastAsia"/>
          <w:lang w:val="ru-RU"/>
        </w:rPr>
        <w:t xml:space="preserve">сингулярный вектор. </w:t>
      </w:r>
      <w:r w:rsidR="00BD1266">
        <w:rPr>
          <w:rFonts w:eastAsiaTheme="minorEastAsia"/>
          <w:lang w:val="ru-RU"/>
        </w:rPr>
        <w:t xml:space="preserve">В данном случае под </w:t>
      </w:r>
      <w:r w:rsidR="00BD1266">
        <w:rPr>
          <w:rFonts w:eastAsiaTheme="minorEastAsia"/>
        </w:rPr>
        <w:t>SNR</w:t>
      </w:r>
      <w:r w:rsidR="00BD1266" w:rsidRPr="00BD1266">
        <w:rPr>
          <w:rFonts w:eastAsiaTheme="minorEastAsia"/>
          <w:lang w:val="ru-RU"/>
        </w:rPr>
        <w:t xml:space="preserve"> </w:t>
      </w:r>
      <w:r w:rsidR="00BD1266">
        <w:rPr>
          <w:rFonts w:eastAsiaTheme="minorEastAsia"/>
          <w:lang w:val="ru-RU"/>
        </w:rPr>
        <w:t xml:space="preserve">подразумевается отношение сигнал шум, которое рассчитывалось при оценке канальной характеристики, а не при передаче информационных символов. </w:t>
      </w:r>
      <w:r w:rsidR="000C4698">
        <w:rPr>
          <w:rFonts w:eastAsiaTheme="minorEastAsia"/>
          <w:lang w:val="ru-RU"/>
        </w:rPr>
        <w:t xml:space="preserve">Для канала </w:t>
      </w:r>
      <w:r w:rsidR="000C4698">
        <w:rPr>
          <w:rFonts w:eastAsiaTheme="minorEastAsia"/>
        </w:rPr>
        <w:t>PATH</w:t>
      </w:r>
      <w:r w:rsidR="000C4698" w:rsidRPr="00BD1266">
        <w:rPr>
          <w:rFonts w:eastAsiaTheme="minorEastAsia"/>
          <w:lang w:val="ru-RU"/>
        </w:rPr>
        <w:t xml:space="preserve"> </w:t>
      </w:r>
      <w:r w:rsidR="000C4698">
        <w:rPr>
          <w:rFonts w:eastAsiaTheme="minorEastAsia"/>
          <w:lang w:val="ru-RU"/>
        </w:rPr>
        <w:t xml:space="preserve">результаты представлены на рисунке </w:t>
      </w:r>
      <w:r w:rsidR="000C4698" w:rsidRPr="00BD1266">
        <w:rPr>
          <w:rFonts w:eastAsiaTheme="minorEastAsia"/>
          <w:lang w:val="ru-RU"/>
        </w:rPr>
        <w:t>11.</w:t>
      </w:r>
    </w:p>
    <w:p w:rsidR="000C4698" w:rsidRDefault="000C4698" w:rsidP="000C4698">
      <w:pPr>
        <w:ind w:firstLine="720"/>
        <w:jc w:val="center"/>
      </w:pPr>
      <w:r w:rsidRPr="000C4698">
        <w:rPr>
          <w:noProof/>
        </w:rPr>
        <w:lastRenderedPageBreak/>
        <w:drawing>
          <wp:inline distT="0" distB="0" distL="0" distR="0" wp14:anchorId="22BCB12F" wp14:editId="3BE62301">
            <wp:extent cx="59436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8" w:rsidRPr="00DC7284" w:rsidRDefault="000C4698" w:rsidP="000C4698">
      <w:pPr>
        <w:ind w:firstLine="720"/>
        <w:jc w:val="center"/>
        <w:rPr>
          <w:lang w:val="ru-RU"/>
        </w:rPr>
      </w:pPr>
      <w:r>
        <w:rPr>
          <w:lang w:val="ru-RU"/>
        </w:rPr>
        <w:t>Рисуок 11</w:t>
      </w:r>
      <w:r w:rsidRPr="000C4698">
        <w:rPr>
          <w:lang w:val="ru-RU"/>
        </w:rPr>
        <w:t>:</w:t>
      </w:r>
      <w:r>
        <w:rPr>
          <w:lang w:val="ru-RU"/>
        </w:rPr>
        <w:t xml:space="preserve"> </w:t>
      </w:r>
      <w:r>
        <w:t>BER</w:t>
      </w:r>
      <w:r w:rsidRPr="000C4698">
        <w:rPr>
          <w:lang w:val="ru-RU"/>
        </w:rPr>
        <w:t>(</w:t>
      </w:r>
      <w:r>
        <w:t>SNR</w:t>
      </w:r>
      <w:r w:rsidRPr="000C4698">
        <w:rPr>
          <w:lang w:val="ru-RU"/>
        </w:rPr>
        <w:t xml:space="preserve">) </w:t>
      </w:r>
      <w:r>
        <w:rPr>
          <w:lang w:val="ru-RU"/>
        </w:rPr>
        <w:t xml:space="preserve">для канала </w:t>
      </w:r>
      <w:r>
        <w:t>PATH</w:t>
      </w:r>
      <w:r>
        <w:rPr>
          <w:lang w:val="ru-RU"/>
        </w:rPr>
        <w:t>.</w:t>
      </w:r>
    </w:p>
    <w:p w:rsidR="005770BF" w:rsidRPr="005770BF" w:rsidRDefault="005770BF" w:rsidP="00363840">
      <w:pPr>
        <w:jc w:val="center"/>
        <w:rPr>
          <w:lang w:val="ru-RU"/>
        </w:rPr>
      </w:pPr>
    </w:p>
    <w:p w:rsidR="009545FD" w:rsidRDefault="00DE2608" w:rsidP="00BD1266">
      <w:pPr>
        <w:jc w:val="center"/>
        <w:rPr>
          <w:lang w:val="ru-RU"/>
        </w:rPr>
      </w:pPr>
      <w:r w:rsidRPr="00DE2608">
        <w:rPr>
          <w:noProof/>
        </w:rPr>
        <w:drawing>
          <wp:inline distT="0" distB="0" distL="0" distR="0" wp14:anchorId="06D9A96B" wp14:editId="67452F5B">
            <wp:extent cx="5943600" cy="34778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66" w:rsidRDefault="00BD1266" w:rsidP="00BD1266">
      <w:pPr>
        <w:jc w:val="center"/>
        <w:rPr>
          <w:lang w:val="ru-RU"/>
        </w:rPr>
      </w:pPr>
      <w:r>
        <w:rPr>
          <w:lang w:val="ru-RU"/>
        </w:rPr>
        <w:t>Рисунок 12</w:t>
      </w:r>
      <w:r w:rsidRPr="00BD1266">
        <w:rPr>
          <w:lang w:val="ru-RU"/>
        </w:rPr>
        <w:t>:</w:t>
      </w:r>
      <w:r>
        <w:rPr>
          <w:lang w:val="ru-RU"/>
        </w:rPr>
        <w:t xml:space="preserve"> </w:t>
      </w:r>
      <w:r>
        <w:t>BER</w:t>
      </w:r>
      <w:r w:rsidRPr="00BD1266">
        <w:rPr>
          <w:lang w:val="ru-RU"/>
        </w:rPr>
        <w:t>(</w:t>
      </w:r>
      <w:r>
        <w:t>SNR</w:t>
      </w:r>
      <w:r w:rsidRPr="00BD1266">
        <w:rPr>
          <w:lang w:val="ru-RU"/>
        </w:rPr>
        <w:t xml:space="preserve">) </w:t>
      </w:r>
      <w:r>
        <w:rPr>
          <w:lang w:val="ru-RU"/>
        </w:rPr>
        <w:t xml:space="preserve">для канал </w:t>
      </w:r>
      <w:proofErr w:type="spellStart"/>
      <w:r>
        <w:t>chan</w:t>
      </w:r>
      <w:proofErr w:type="spellEnd"/>
      <w:r w:rsidR="00DE2608">
        <w:rPr>
          <w:lang w:val="ru-RU"/>
        </w:rPr>
        <w:t>_1</w:t>
      </w:r>
      <w:r w:rsidRPr="00BD1266">
        <w:rPr>
          <w:lang w:val="ru-RU"/>
        </w:rPr>
        <w:t>.</w:t>
      </w:r>
    </w:p>
    <w:p w:rsidR="00DE2608" w:rsidRDefault="00DE2608" w:rsidP="00BD1266">
      <w:pPr>
        <w:jc w:val="center"/>
        <w:rPr>
          <w:lang w:val="ru-RU"/>
        </w:rPr>
      </w:pPr>
      <w:r w:rsidRPr="00DE2608">
        <w:rPr>
          <w:noProof/>
        </w:rPr>
        <w:lastRenderedPageBreak/>
        <w:drawing>
          <wp:inline distT="0" distB="0" distL="0" distR="0" wp14:anchorId="6436ACD1" wp14:editId="2090CA4F">
            <wp:extent cx="5943600" cy="33058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08" w:rsidRDefault="00DE2608" w:rsidP="00DE2608">
      <w:pPr>
        <w:jc w:val="center"/>
        <w:rPr>
          <w:lang w:val="ru-RU"/>
        </w:rPr>
      </w:pPr>
      <w:r>
        <w:rPr>
          <w:lang w:val="ru-RU"/>
        </w:rPr>
        <w:t>Рисунок 13</w:t>
      </w:r>
      <w:r w:rsidRPr="00BD1266">
        <w:rPr>
          <w:lang w:val="ru-RU"/>
        </w:rPr>
        <w:t>:</w:t>
      </w:r>
      <w:r>
        <w:rPr>
          <w:lang w:val="ru-RU"/>
        </w:rPr>
        <w:t xml:space="preserve"> </w:t>
      </w:r>
      <w:r>
        <w:t>BER</w:t>
      </w:r>
      <w:r w:rsidRPr="00BD1266">
        <w:rPr>
          <w:lang w:val="ru-RU"/>
        </w:rPr>
        <w:t>(</w:t>
      </w:r>
      <w:r>
        <w:t>SNR</w:t>
      </w:r>
      <w:r w:rsidRPr="00BD1266">
        <w:rPr>
          <w:lang w:val="ru-RU"/>
        </w:rPr>
        <w:t xml:space="preserve">) </w:t>
      </w:r>
      <w:r>
        <w:rPr>
          <w:lang w:val="ru-RU"/>
        </w:rPr>
        <w:t xml:space="preserve">для канал </w:t>
      </w:r>
      <w:proofErr w:type="spellStart"/>
      <w:r>
        <w:t>chan</w:t>
      </w:r>
      <w:proofErr w:type="spellEnd"/>
      <w:r>
        <w:rPr>
          <w:lang w:val="ru-RU"/>
        </w:rPr>
        <w:t>_2</w:t>
      </w:r>
      <w:r w:rsidRPr="00BD1266">
        <w:rPr>
          <w:lang w:val="ru-RU"/>
        </w:rPr>
        <w:t>.</w:t>
      </w:r>
    </w:p>
    <w:p w:rsidR="00BD1266" w:rsidRDefault="00BD1266" w:rsidP="00BD1266">
      <w:pPr>
        <w:rPr>
          <w:lang w:val="ru-RU"/>
        </w:rPr>
      </w:pPr>
      <w:r>
        <w:rPr>
          <w:lang w:val="ru-RU"/>
        </w:rPr>
        <w:tab/>
        <w:t xml:space="preserve">Как видно из рисунков 11, 12, на оценку </w:t>
      </w:r>
      <w:r>
        <w:t>BER</w:t>
      </w:r>
      <w:r w:rsidRPr="00BD1266">
        <w:rPr>
          <w:lang w:val="ru-RU"/>
        </w:rPr>
        <w:t>(</w:t>
      </w:r>
      <w:r>
        <w:t>SNR</w:t>
      </w:r>
      <w:r w:rsidRPr="00BD1266">
        <w:rPr>
          <w:lang w:val="ru-RU"/>
        </w:rPr>
        <w:t xml:space="preserve">) </w:t>
      </w:r>
      <w:r>
        <w:rPr>
          <w:lang w:val="ru-RU"/>
        </w:rPr>
        <w:t xml:space="preserve">большее влияние оказывает точность оценки канала при плохом отношении сигнал шум (когда кривая </w:t>
      </w:r>
      <w:r>
        <w:t>MER</w:t>
      </w:r>
      <w:r w:rsidRPr="00BD1266">
        <w:rPr>
          <w:lang w:val="ru-RU"/>
        </w:rPr>
        <w:t xml:space="preserve"> </w:t>
      </w:r>
      <w:r>
        <w:rPr>
          <w:lang w:val="ru-RU"/>
        </w:rPr>
        <w:t xml:space="preserve">еще не </w:t>
      </w:r>
      <w:r w:rsidRPr="00BD1266">
        <w:rPr>
          <w:lang w:val="ru-RU"/>
        </w:rPr>
        <w:t>“</w:t>
      </w:r>
      <w:r>
        <w:rPr>
          <w:lang w:val="ru-RU"/>
        </w:rPr>
        <w:t>вышла в насыщение</w:t>
      </w:r>
      <w:r w:rsidRPr="00BD1266">
        <w:rPr>
          <w:lang w:val="ru-RU"/>
        </w:rPr>
        <w:t>”</w:t>
      </w:r>
      <w:r>
        <w:rPr>
          <w:lang w:val="ru-RU"/>
        </w:rPr>
        <w:t xml:space="preserve">), чем точность в хороших условиях , т.к. в хороших условиях ошибка в любом случае становится незначительной. Соответственно </w:t>
      </w:r>
      <w:r w:rsidR="00A70D42">
        <w:rPr>
          <w:lang w:val="ru-RU"/>
        </w:rPr>
        <w:t>в большинстве случаев следует выбирать узкое окно. Так же хорошие результаты дало окно основанное на оценке мощности шума</w:t>
      </w:r>
      <w:r w:rsidR="00A70D42" w:rsidRPr="00A70D42">
        <w:rPr>
          <w:lang w:val="ru-RU"/>
        </w:rPr>
        <w:t xml:space="preserve">: </w:t>
      </w:r>
      <w:r w:rsidR="00A70D42">
        <w:rPr>
          <w:lang w:val="ru-RU"/>
        </w:rPr>
        <w:t xml:space="preserve">в случае канала </w:t>
      </w:r>
      <w:r w:rsidR="00A70D42">
        <w:t>PATH</w:t>
      </w:r>
      <w:r w:rsidR="00A70D42" w:rsidRPr="00A70D42">
        <w:rPr>
          <w:lang w:val="ru-RU"/>
        </w:rPr>
        <w:t xml:space="preserve"> </w:t>
      </w:r>
      <w:r w:rsidR="00A70D42">
        <w:rPr>
          <w:lang w:val="ru-RU"/>
        </w:rPr>
        <w:t xml:space="preserve">имеем выигрыш </w:t>
      </w:r>
      <w:r w:rsidR="00A70D42" w:rsidRPr="00A70D42">
        <w:rPr>
          <w:lang w:val="ru-RU"/>
        </w:rPr>
        <w:t xml:space="preserve">~1-2 </w:t>
      </w:r>
      <w:r w:rsidR="00A70D42">
        <w:t>dB</w:t>
      </w:r>
      <w:r w:rsidR="00A70D42">
        <w:rPr>
          <w:lang w:val="ru-RU"/>
        </w:rPr>
        <w:t xml:space="preserve">, в случае </w:t>
      </w:r>
      <w:proofErr w:type="spellStart"/>
      <w:r w:rsidR="00A70D42">
        <w:t>chan</w:t>
      </w:r>
      <w:proofErr w:type="spellEnd"/>
      <w:r w:rsidR="00DE2608">
        <w:rPr>
          <w:lang w:val="ru-RU"/>
        </w:rPr>
        <w:t>_1</w:t>
      </w:r>
      <w:r w:rsidR="00A70D42" w:rsidRPr="00A70D42">
        <w:rPr>
          <w:lang w:val="ru-RU"/>
        </w:rPr>
        <w:t xml:space="preserve"> </w:t>
      </w:r>
      <w:r w:rsidR="001B7AE0">
        <w:rPr>
          <w:lang w:val="ru-RU"/>
        </w:rPr>
        <w:t>проигрыш</w:t>
      </w:r>
      <w:r w:rsidR="00A70D42">
        <w:rPr>
          <w:lang w:val="ru-RU"/>
        </w:rPr>
        <w:t xml:space="preserve"> на </w:t>
      </w:r>
      <w:r w:rsidR="00A70D42" w:rsidRPr="00A70D42">
        <w:rPr>
          <w:lang w:val="ru-RU"/>
        </w:rPr>
        <w:t xml:space="preserve">~0.5-1 </w:t>
      </w:r>
      <w:r w:rsidR="00A70D42">
        <w:t>dB</w:t>
      </w:r>
      <w:r w:rsidR="001B7AE0">
        <w:rPr>
          <w:lang w:val="ru-RU"/>
        </w:rPr>
        <w:t xml:space="preserve"> и в канале </w:t>
      </w:r>
      <w:proofErr w:type="spellStart"/>
      <w:r w:rsidR="001B7AE0">
        <w:t>chan</w:t>
      </w:r>
      <w:proofErr w:type="spellEnd"/>
      <w:r w:rsidR="001B7AE0" w:rsidRPr="001B7AE0">
        <w:rPr>
          <w:lang w:val="ru-RU"/>
        </w:rPr>
        <w:t xml:space="preserve">_2 </w:t>
      </w:r>
      <w:r w:rsidR="001B7AE0">
        <w:rPr>
          <w:lang w:val="ru-RU"/>
        </w:rPr>
        <w:t xml:space="preserve">выигрыш </w:t>
      </w:r>
      <w:r w:rsidR="001B7AE0" w:rsidRPr="001B7AE0">
        <w:rPr>
          <w:lang w:val="ru-RU"/>
        </w:rPr>
        <w:t xml:space="preserve">~1 </w:t>
      </w:r>
      <w:r w:rsidR="001B7AE0">
        <w:t>dB</w:t>
      </w:r>
      <w:r w:rsidR="00A70D42">
        <w:rPr>
          <w:lang w:val="ru-RU"/>
        </w:rPr>
        <w:t xml:space="preserve"> по сравнениею с лучшим из протестированных фиксированных окон.</w:t>
      </w:r>
    </w:p>
    <w:p w:rsidR="00DC7284" w:rsidRDefault="00DC7284" w:rsidP="00DC7284">
      <w:pPr>
        <w:pStyle w:val="Heading1"/>
        <w:rPr>
          <w:lang w:val="ru-RU"/>
        </w:rPr>
      </w:pPr>
      <w:bookmarkStart w:id="4" w:name="_Toc89770522"/>
      <w:r>
        <w:rPr>
          <w:lang w:val="ru-RU"/>
        </w:rPr>
        <w:t>Заключение</w:t>
      </w:r>
      <w:bookmarkEnd w:id="4"/>
    </w:p>
    <w:p w:rsidR="00DC7284" w:rsidRPr="00C8088C" w:rsidRDefault="00DC7284" w:rsidP="00C8088C">
      <w:pPr>
        <w:rPr>
          <w:lang w:val="ru-RU"/>
        </w:rPr>
      </w:pPr>
      <w:r w:rsidRPr="00263346">
        <w:rPr>
          <w:lang w:val="ru-RU"/>
        </w:rPr>
        <w:tab/>
      </w:r>
      <w:r>
        <w:rPr>
          <w:lang w:val="ru-RU"/>
        </w:rPr>
        <w:t xml:space="preserve">Были исследованы последовательности </w:t>
      </w:r>
      <w:r>
        <w:t>SRS</w:t>
      </w:r>
      <w:r w:rsidRPr="00DC7284">
        <w:rPr>
          <w:lang w:val="ru-RU"/>
        </w:rPr>
        <w:t xml:space="preserve"> </w:t>
      </w:r>
      <w:r>
        <w:rPr>
          <w:lang w:val="ru-RU"/>
        </w:rPr>
        <w:t xml:space="preserve">пилотов. Циклическая корреляция </w:t>
      </w:r>
      <w:r w:rsidR="00C8088C">
        <w:rPr>
          <w:lang w:val="ru-RU"/>
        </w:rPr>
        <w:t xml:space="preserve">данных последовательностей представляет собой единичный импульс. В случе обычной корреляции, автокорреляция близка к единичному импульсу (автокорреляция во всех точках кроме 0 не превышает 0.07), а корреляция между последовательностями с разными циклическими сдвигами представляет собой  2 </w:t>
      </w:r>
      <w:r w:rsidR="00C8088C" w:rsidRPr="00DB7D09">
        <w:rPr>
          <w:lang w:val="ru-RU"/>
        </w:rPr>
        <w:t>“</w:t>
      </w:r>
      <w:r w:rsidR="00C8088C">
        <w:rPr>
          <w:lang w:val="ru-RU"/>
        </w:rPr>
        <w:t>набора</w:t>
      </w:r>
      <w:r w:rsidR="00C8088C" w:rsidRPr="00DB7D09">
        <w:rPr>
          <w:lang w:val="ru-RU"/>
        </w:rPr>
        <w:t xml:space="preserve">” </w:t>
      </w:r>
      <w:r w:rsidR="00C8088C">
        <w:rPr>
          <w:lang w:val="ru-RU"/>
        </w:rPr>
        <w:t xml:space="preserve">максимумов вблизи точек </w:t>
      </w:r>
      <w:r w:rsidR="00C8088C" w:rsidRPr="00DB7D09">
        <w:rPr>
          <w:lang w:val="ru-RU"/>
        </w:rPr>
        <w:t>(</w:t>
      </w:r>
      <w:r w:rsidR="00C8088C">
        <w:rPr>
          <w:lang w:val="ru-RU"/>
        </w:rPr>
        <w:t>36*</w:t>
      </w:r>
      <w:proofErr w:type="spellStart"/>
      <w:r w:rsidR="00C8088C">
        <w:t>cs</w:t>
      </w:r>
      <w:proofErr w:type="spellEnd"/>
      <w:r w:rsidR="00C8088C" w:rsidRPr="00DB7D09">
        <w:rPr>
          <w:lang w:val="ru-RU"/>
        </w:rPr>
        <w:t xml:space="preserve">) </w:t>
      </w:r>
      <w:r w:rsidR="00C8088C">
        <w:rPr>
          <w:lang w:val="ru-RU"/>
        </w:rPr>
        <w:t xml:space="preserve">и </w:t>
      </w:r>
      <w:r w:rsidR="00C8088C" w:rsidRPr="00DB7D09">
        <w:rPr>
          <w:lang w:val="ru-RU"/>
        </w:rPr>
        <w:t>(</w:t>
      </w:r>
      <w:r w:rsidR="00C8088C">
        <w:rPr>
          <w:lang w:val="ru-RU"/>
        </w:rPr>
        <w:t>36*</w:t>
      </w:r>
      <w:proofErr w:type="spellStart"/>
      <w:r w:rsidR="00C8088C">
        <w:t>cs</w:t>
      </w:r>
      <w:proofErr w:type="spellEnd"/>
      <w:r w:rsidR="00C8088C" w:rsidRPr="00DB7D09">
        <w:rPr>
          <w:lang w:val="ru-RU"/>
        </w:rPr>
        <w:t xml:space="preserve"> </w:t>
      </w:r>
      <w:r w:rsidR="00C8088C">
        <w:rPr>
          <w:lang w:val="ru-RU"/>
        </w:rPr>
        <w:t>– 288) (т.к. реально циклический сдвиг раве 36*</w:t>
      </w:r>
      <w:proofErr w:type="spellStart"/>
      <w:r w:rsidR="00C8088C">
        <w:t>cs</w:t>
      </w:r>
      <w:proofErr w:type="spellEnd"/>
      <w:r w:rsidR="00C8088C">
        <w:rPr>
          <w:lang w:val="ru-RU"/>
        </w:rPr>
        <w:t>).</w:t>
      </w:r>
      <w:r w:rsidR="00C8088C" w:rsidRPr="00C8088C">
        <w:rPr>
          <w:lang w:val="ru-RU"/>
        </w:rPr>
        <w:t xml:space="preserve"> </w:t>
      </w:r>
      <w:r w:rsidR="00C8088C">
        <w:rPr>
          <w:lang w:val="ru-RU"/>
        </w:rPr>
        <w:t xml:space="preserve">Чем больше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count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cs</m:t>
        </m:r>
        <m:r>
          <w:rPr>
            <w:rFonts w:ascii="Cambria Math" w:hAnsi="Cambria Math"/>
            <w:lang w:val="ru-RU"/>
          </w:rPr>
          <m:t>)</m:t>
        </m:r>
      </m:oMath>
      <w:r w:rsidR="00C8088C" w:rsidRPr="009F349A">
        <w:rPr>
          <w:rFonts w:eastAsiaTheme="minorEastAsia"/>
          <w:lang w:val="ru-RU"/>
        </w:rPr>
        <w:t>,</w:t>
      </w:r>
      <w:r w:rsidR="00C8088C">
        <w:rPr>
          <w:rFonts w:eastAsiaTheme="minorEastAsia"/>
          <w:lang w:val="ru-RU"/>
        </w:rPr>
        <w:t xml:space="preserve"> тем дальше будут разнесены импульсные характеристики измеряемого и интерференционного каналов и соответственно проще будет выделить ИХ измеряемого канала</w:t>
      </w:r>
      <w:r w:rsidR="008A390C">
        <w:rPr>
          <w:rFonts w:eastAsiaTheme="minorEastAsia"/>
          <w:lang w:val="ru-RU"/>
        </w:rPr>
        <w:t xml:space="preserve"> с помощью окна</w:t>
      </w:r>
      <w:r w:rsidR="00C8088C">
        <w:rPr>
          <w:rFonts w:eastAsiaTheme="minorEastAsia"/>
          <w:lang w:val="ru-RU"/>
        </w:rPr>
        <w:t>.</w:t>
      </w:r>
    </w:p>
    <w:p w:rsidR="00DC7284" w:rsidRDefault="00DC7284" w:rsidP="008A390C">
      <w:pPr>
        <w:ind w:firstLine="720"/>
        <w:rPr>
          <w:lang w:val="ru-RU"/>
        </w:rPr>
      </w:pPr>
      <w:r>
        <w:rPr>
          <w:lang w:val="ru-RU"/>
        </w:rPr>
        <w:t xml:space="preserve">Были рассмотрены оценки частотной характеристики канала с использованием </w:t>
      </w:r>
      <w:proofErr w:type="spellStart"/>
      <w:r>
        <w:t>srs</w:t>
      </w:r>
      <w:proofErr w:type="spellEnd"/>
      <w:r w:rsidRPr="00DC7284">
        <w:rPr>
          <w:lang w:val="ru-RU"/>
        </w:rPr>
        <w:t xml:space="preserve"> </w:t>
      </w:r>
      <w:r>
        <w:rPr>
          <w:lang w:val="ru-RU"/>
        </w:rPr>
        <w:t xml:space="preserve">пилотов </w:t>
      </w:r>
      <w:r>
        <w:t>LS</w:t>
      </w:r>
      <w:r w:rsidRPr="00DC7284">
        <w:rPr>
          <w:lang w:val="ru-RU"/>
        </w:rPr>
        <w:t xml:space="preserve"> </w:t>
      </w:r>
      <w:r>
        <w:rPr>
          <w:lang w:val="ru-RU"/>
        </w:rPr>
        <w:t xml:space="preserve">методом и </w:t>
      </w:r>
      <w:r>
        <w:t>LS</w:t>
      </w:r>
      <w:r w:rsidRPr="00DC7284">
        <w:rPr>
          <w:lang w:val="ru-RU"/>
        </w:rPr>
        <w:t xml:space="preserve"> </w:t>
      </w:r>
      <w:r>
        <w:rPr>
          <w:lang w:val="ru-RU"/>
        </w:rPr>
        <w:t xml:space="preserve">методом с использованием различных окон. В качестве окна были рассмотрены окна различной ширины, а так же окно </w:t>
      </w:r>
      <w:r w:rsidR="008A390C">
        <w:rPr>
          <w:lang w:val="ru-RU"/>
        </w:rPr>
        <w:t xml:space="preserve">основанное на оценке мощности шума. При низких </w:t>
      </w:r>
      <w:r w:rsidR="008A390C">
        <w:t>SNR</w:t>
      </w:r>
      <w:r w:rsidR="008A390C" w:rsidRPr="008A390C">
        <w:rPr>
          <w:lang w:val="ru-RU"/>
        </w:rPr>
        <w:t xml:space="preserve"> </w:t>
      </w:r>
      <w:r w:rsidR="008A390C">
        <w:rPr>
          <w:lang w:val="ru-RU"/>
        </w:rPr>
        <w:t xml:space="preserve">узкое окно дает лучшие результаты из за того что пропускает меньше шума, но при высоких </w:t>
      </w:r>
      <w:r w:rsidR="008A390C">
        <w:t>SNR</w:t>
      </w:r>
      <w:r w:rsidR="008A390C" w:rsidRPr="008A390C">
        <w:rPr>
          <w:lang w:val="ru-RU"/>
        </w:rPr>
        <w:t xml:space="preserve"> </w:t>
      </w:r>
      <w:r w:rsidR="008A390C">
        <w:rPr>
          <w:lang w:val="ru-RU"/>
        </w:rPr>
        <w:t xml:space="preserve">более широкое окно дает лучшуую оценку. Адаптивное окно основанное на оценке мощности </w:t>
      </w:r>
      <w:r w:rsidR="008A390C">
        <w:rPr>
          <w:lang w:val="ru-RU"/>
        </w:rPr>
        <w:lastRenderedPageBreak/>
        <w:t xml:space="preserve">шума дает хорошую оценку при больших </w:t>
      </w:r>
      <w:r w:rsidR="008A390C">
        <w:t>SNR</w:t>
      </w:r>
      <w:r w:rsidR="008A390C" w:rsidRPr="008A390C">
        <w:rPr>
          <w:lang w:val="ru-RU"/>
        </w:rPr>
        <w:t xml:space="preserve"> </w:t>
      </w:r>
      <w:r w:rsidR="008A390C">
        <w:rPr>
          <w:lang w:val="ru-RU"/>
        </w:rPr>
        <w:t>и хорошую оценку (в некотором диапазоне чуть худшую</w:t>
      </w:r>
      <w:r w:rsidR="008A390C" w:rsidRPr="008A390C">
        <w:rPr>
          <w:lang w:val="ru-RU"/>
        </w:rPr>
        <w:t xml:space="preserve"> </w:t>
      </w:r>
      <w:r w:rsidR="008A390C">
        <w:rPr>
          <w:lang w:val="ru-RU"/>
        </w:rPr>
        <w:t xml:space="preserve">по сравнению с правильно подобранным узким окном) при низких </w:t>
      </w:r>
      <w:r w:rsidR="008A390C">
        <w:t>SNR</w:t>
      </w:r>
      <w:r w:rsidR="008A390C">
        <w:rPr>
          <w:lang w:val="ru-RU"/>
        </w:rPr>
        <w:t>.</w:t>
      </w:r>
    </w:p>
    <w:p w:rsidR="008A390C" w:rsidRDefault="008A390C" w:rsidP="008A390C">
      <w:pPr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Была проведена симуляция передачи данных, и построены зависимости </w:t>
      </w:r>
      <w:r>
        <w:t>BER</w:t>
      </w:r>
      <w:r w:rsidRPr="008A390C">
        <w:rPr>
          <w:lang w:val="ru-RU"/>
        </w:rPr>
        <w:t>(</w:t>
      </w:r>
      <w:r>
        <w:t>SNR</w:t>
      </w:r>
      <w:r w:rsidRPr="008A390C">
        <w:rPr>
          <w:lang w:val="ru-RU"/>
        </w:rPr>
        <w:t>)</w:t>
      </w:r>
      <w:r>
        <w:rPr>
          <w:lang w:val="ru-RU"/>
        </w:rPr>
        <w:t xml:space="preserve">. Из полученных результатов можно сделать вывод, что более важным является хорошо оценивать ИХ при низких </w:t>
      </w:r>
      <w:r>
        <w:t>SNR</w:t>
      </w:r>
      <w:r w:rsidRPr="008A390C">
        <w:rPr>
          <w:lang w:val="ru-RU"/>
        </w:rPr>
        <w:t xml:space="preserve"> </w:t>
      </w:r>
      <w:r>
        <w:rPr>
          <w:lang w:val="ru-RU"/>
        </w:rPr>
        <w:t xml:space="preserve">чем при больших, т.к. при больших </w:t>
      </w:r>
      <w:r>
        <w:t>SNR</w:t>
      </w:r>
      <w:r>
        <w:rPr>
          <w:lang w:val="ru-RU"/>
        </w:rPr>
        <w:t xml:space="preserve"> (когда ошибка оценки уже перестает меняться) </w:t>
      </w:r>
      <w:r>
        <w:t>BER</w:t>
      </w:r>
      <w:r w:rsidRPr="008A390C">
        <w:rPr>
          <w:lang w:val="ru-RU"/>
        </w:rPr>
        <w:t xml:space="preserve"> </w:t>
      </w:r>
      <w:r>
        <w:rPr>
          <w:lang w:val="ru-RU"/>
        </w:rPr>
        <w:t>уже в любом случае достаточно низок (</w:t>
      </w:r>
      <m:oMath>
        <m:r>
          <w:rPr>
            <w:rFonts w:ascii="Cambria Math" w:hAnsi="Cambria Math"/>
            <w:lang w:val="ru-RU"/>
          </w:rPr>
          <m:t>&lt;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="0079652A">
        <w:rPr>
          <w:rFonts w:eastAsiaTheme="minorEastAsia"/>
          <w:lang w:val="ru-RU"/>
        </w:rPr>
        <w:t>), поэтому предпочтительно использование узкого окна (но ширина окна все еще зависит от характеристик канал</w:t>
      </w:r>
      <w:r w:rsidR="0079652A" w:rsidRPr="0079652A">
        <w:rPr>
          <w:rFonts w:eastAsiaTheme="minorEastAsia"/>
          <w:lang w:val="ru-RU"/>
        </w:rPr>
        <w:t>:</w:t>
      </w:r>
      <w:r w:rsidR="0079652A">
        <w:rPr>
          <w:rFonts w:eastAsiaTheme="minorEastAsia"/>
          <w:lang w:val="ru-RU"/>
        </w:rPr>
        <w:t xml:space="preserve"> для канала </w:t>
      </w:r>
      <w:r w:rsidR="0079652A">
        <w:rPr>
          <w:rFonts w:eastAsiaTheme="minorEastAsia"/>
        </w:rPr>
        <w:t>PATH</w:t>
      </w:r>
      <w:r w:rsidR="0079652A" w:rsidRPr="0079652A">
        <w:rPr>
          <w:rFonts w:eastAsiaTheme="minorEastAsia"/>
          <w:lang w:val="ru-RU"/>
        </w:rPr>
        <w:t xml:space="preserve"> </w:t>
      </w:r>
      <w:r w:rsidR="0079652A">
        <w:rPr>
          <w:rFonts w:eastAsiaTheme="minorEastAsia"/>
          <w:lang w:val="ru-RU"/>
        </w:rPr>
        <w:t xml:space="preserve">с многолучевым распространением требуется более широкое окно </w:t>
      </w:r>
      <w:r w:rsidR="0079652A" w:rsidRPr="0079652A">
        <w:rPr>
          <w:rFonts w:eastAsiaTheme="minorEastAsia"/>
          <w:lang w:val="ru-RU"/>
        </w:rPr>
        <w:t>~1</w:t>
      </w:r>
      <w:r w:rsidR="0079652A">
        <w:rPr>
          <w:rFonts w:eastAsiaTheme="minorEastAsia"/>
          <w:lang w:val="ru-RU"/>
        </w:rPr>
        <w:t xml:space="preserve">0, в то время, как для однолучевого канала </w:t>
      </w:r>
      <w:r w:rsidR="00DE2608" w:rsidRPr="00DE2608">
        <w:rPr>
          <w:rFonts w:eastAsiaTheme="minorEastAsia"/>
          <w:lang w:val="ru-RU"/>
        </w:rPr>
        <w:t>1</w:t>
      </w:r>
      <w:r w:rsidR="0079652A">
        <w:rPr>
          <w:rFonts w:eastAsiaTheme="minorEastAsia"/>
          <w:lang w:val="ru-RU"/>
        </w:rPr>
        <w:t xml:space="preserve"> требуется ширина </w:t>
      </w:r>
      <w:r w:rsidR="0079652A" w:rsidRPr="0079652A">
        <w:rPr>
          <w:rFonts w:eastAsiaTheme="minorEastAsia"/>
          <w:lang w:val="ru-RU"/>
        </w:rPr>
        <w:t>~3)</w:t>
      </w:r>
      <w:r w:rsidR="0079652A">
        <w:rPr>
          <w:rFonts w:eastAsiaTheme="minorEastAsia"/>
          <w:lang w:val="ru-RU"/>
        </w:rPr>
        <w:t>. Предложенное адаптивное окно основанное на оценке мощности шума показывает неп</w:t>
      </w:r>
      <w:r w:rsidR="001B7AE0">
        <w:rPr>
          <w:rFonts w:eastAsiaTheme="minorEastAsia"/>
          <w:lang w:val="ru-RU"/>
        </w:rPr>
        <w:t>лохой результат во всех каналах и дает возможность автоматически выбирать окно основываясь на характеристиках канала</w:t>
      </w:r>
      <w:r w:rsidR="001B7AE0" w:rsidRPr="001B7AE0">
        <w:rPr>
          <w:rFonts w:eastAsiaTheme="minorEastAsia"/>
          <w:lang w:val="ru-RU"/>
        </w:rPr>
        <w:t xml:space="preserve">: </w:t>
      </w:r>
      <w:r w:rsidR="001B7AE0">
        <w:rPr>
          <w:rFonts w:eastAsiaTheme="minorEastAsia"/>
          <w:lang w:val="ru-RU"/>
        </w:rPr>
        <w:t xml:space="preserve">в протестированных каналах </w:t>
      </w:r>
      <w:r w:rsidR="0079652A">
        <w:rPr>
          <w:rFonts w:eastAsiaTheme="minorEastAsia"/>
          <w:lang w:val="ru-RU"/>
        </w:rPr>
        <w:t>выигрыш</w:t>
      </w:r>
      <w:r w:rsidR="0079652A" w:rsidRPr="0079652A">
        <w:rPr>
          <w:rFonts w:eastAsiaTheme="minorEastAsia"/>
          <w:lang w:val="ru-RU"/>
        </w:rPr>
        <w:t>/</w:t>
      </w:r>
      <w:r w:rsidR="0079652A">
        <w:rPr>
          <w:rFonts w:eastAsiaTheme="minorEastAsia"/>
          <w:lang w:val="ru-RU"/>
        </w:rPr>
        <w:t xml:space="preserve">проигрыш по </w:t>
      </w:r>
      <w:r w:rsidR="0079652A">
        <w:rPr>
          <w:rFonts w:eastAsiaTheme="minorEastAsia"/>
        </w:rPr>
        <w:t>SNR</w:t>
      </w:r>
      <w:r w:rsidR="0079652A" w:rsidRPr="0079652A">
        <w:rPr>
          <w:rFonts w:eastAsiaTheme="minorEastAsia"/>
          <w:lang w:val="ru-RU"/>
        </w:rPr>
        <w:t xml:space="preserve"> </w:t>
      </w:r>
      <w:r w:rsidR="0079652A">
        <w:rPr>
          <w:rFonts w:eastAsiaTheme="minorEastAsia"/>
          <w:lang w:val="ru-RU"/>
        </w:rPr>
        <w:t xml:space="preserve">сравнению с лучшим окном для каждого из каналов </w:t>
      </w:r>
      <w:r w:rsidR="0079652A" w:rsidRPr="0079652A">
        <w:rPr>
          <w:rFonts w:eastAsiaTheme="minorEastAsia"/>
          <w:lang w:val="ru-RU"/>
        </w:rPr>
        <w:t xml:space="preserve">~1-2 </w:t>
      </w:r>
      <w:r w:rsidR="0079652A">
        <w:rPr>
          <w:rFonts w:eastAsiaTheme="minorEastAsia"/>
          <w:lang w:val="ru-RU"/>
        </w:rPr>
        <w:t>дБ</w:t>
      </w:r>
      <w:r w:rsidR="001B7AE0">
        <w:rPr>
          <w:rFonts w:eastAsiaTheme="minorEastAsia"/>
          <w:lang w:val="ru-RU"/>
        </w:rPr>
        <w:t>, но в основном данное окно выигрывает у прямоугольного, но стоит отметить что использовалось точное значение мощности шума, а использование оценки данного параметра может ухудшить данные результаты</w:t>
      </w:r>
      <w:r w:rsidR="0079652A">
        <w:rPr>
          <w:rFonts w:eastAsiaTheme="minorEastAsia"/>
          <w:lang w:val="ru-RU"/>
        </w:rPr>
        <w:t>.</w:t>
      </w:r>
    </w:p>
    <w:p w:rsidR="0079652A" w:rsidRDefault="0079652A" w:rsidP="0079652A">
      <w:pPr>
        <w:rPr>
          <w:rFonts w:eastAsiaTheme="minorEastAsia"/>
          <w:lang w:val="ru-RU"/>
        </w:rPr>
      </w:pPr>
    </w:p>
    <w:p w:rsidR="00DE2608" w:rsidRPr="001B7AE0" w:rsidRDefault="00DE26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1B7AE0">
        <w:rPr>
          <w:lang w:val="ru-RU"/>
        </w:rPr>
        <w:br w:type="page"/>
      </w:r>
    </w:p>
    <w:p w:rsidR="0079652A" w:rsidRDefault="0079652A" w:rsidP="00DE2608">
      <w:pPr>
        <w:pStyle w:val="Heading1"/>
      </w:pPr>
      <w:bookmarkStart w:id="5" w:name="_Toc89770523"/>
      <w:proofErr w:type="spellStart"/>
      <w:r>
        <w:lastRenderedPageBreak/>
        <w:t>Tmp</w:t>
      </w:r>
      <w:proofErr w:type="spellEnd"/>
      <w:r>
        <w:t>. Materials</w:t>
      </w:r>
      <w:r w:rsidR="008E7B45">
        <w:t xml:space="preserve"> (not included)</w:t>
      </w:r>
      <w:bookmarkEnd w:id="5"/>
    </w:p>
    <w:p w:rsidR="00C95FD3" w:rsidRDefault="00DE2608" w:rsidP="0079652A">
      <w:r w:rsidRPr="00DE2608">
        <w:rPr>
          <w:noProof/>
        </w:rPr>
        <w:drawing>
          <wp:inline distT="0" distB="0" distL="0" distR="0" wp14:anchorId="6380229B" wp14:editId="0675AA13">
            <wp:extent cx="5943600" cy="34048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D3" w:rsidRDefault="00DE2608" w:rsidP="0079652A">
      <w:r w:rsidRPr="00DE2608">
        <w:rPr>
          <w:noProof/>
        </w:rPr>
        <w:drawing>
          <wp:inline distT="0" distB="0" distL="0" distR="0" wp14:anchorId="560BA4BA" wp14:editId="254A52D6">
            <wp:extent cx="5943600" cy="3422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45" w:rsidRDefault="008E7B45" w:rsidP="0079652A">
      <w:r w:rsidRPr="008E7B45">
        <w:rPr>
          <w:noProof/>
        </w:rPr>
        <w:lastRenderedPageBreak/>
        <w:drawing>
          <wp:inline distT="0" distB="0" distL="0" distR="0" wp14:anchorId="76DC821D" wp14:editId="098C5BF8">
            <wp:extent cx="5943600" cy="3369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0" w:rsidRDefault="00CF7510" w:rsidP="0079652A">
      <w:r w:rsidRPr="00CF7510">
        <w:rPr>
          <w:noProof/>
        </w:rPr>
        <w:drawing>
          <wp:inline distT="0" distB="0" distL="0" distR="0" wp14:anchorId="4EE0222F" wp14:editId="521FD2E1">
            <wp:extent cx="5943600" cy="3132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0" w:rsidRDefault="00CF7510" w:rsidP="0079652A">
      <w:r w:rsidRPr="00CF7510">
        <w:rPr>
          <w:noProof/>
        </w:rPr>
        <w:lastRenderedPageBreak/>
        <w:drawing>
          <wp:inline distT="0" distB="0" distL="0" distR="0" wp14:anchorId="5196BE94" wp14:editId="64135222">
            <wp:extent cx="5943600" cy="3409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45" w:rsidRDefault="008E7B45" w:rsidP="008E7B45">
      <w:r>
        <w:br w:type="page"/>
      </w:r>
    </w:p>
    <w:p w:rsidR="008E7B45" w:rsidRPr="00C95FD3" w:rsidRDefault="008E7B45" w:rsidP="0079652A">
      <w:r w:rsidRPr="008E7B45">
        <w:rPr>
          <w:noProof/>
        </w:rPr>
        <w:lastRenderedPageBreak/>
        <w:drawing>
          <wp:inline distT="0" distB="0" distL="0" distR="0" wp14:anchorId="7381E321" wp14:editId="6DFCAF51">
            <wp:extent cx="5943600" cy="33655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2A" w:rsidRPr="0079652A" w:rsidRDefault="0079652A" w:rsidP="0079652A">
      <w:pPr>
        <w:rPr>
          <w:lang w:val="ru-RU"/>
        </w:rPr>
      </w:pPr>
    </w:p>
    <w:sectPr w:rsidR="0079652A" w:rsidRPr="0079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D8"/>
    <w:rsid w:val="00005BC0"/>
    <w:rsid w:val="0006264F"/>
    <w:rsid w:val="000A6CC8"/>
    <w:rsid w:val="000C4698"/>
    <w:rsid w:val="00190530"/>
    <w:rsid w:val="001B7AE0"/>
    <w:rsid w:val="00235537"/>
    <w:rsid w:val="00263346"/>
    <w:rsid w:val="002A684D"/>
    <w:rsid w:val="002B2252"/>
    <w:rsid w:val="0035659B"/>
    <w:rsid w:val="00363840"/>
    <w:rsid w:val="003C7511"/>
    <w:rsid w:val="003D51D8"/>
    <w:rsid w:val="00422375"/>
    <w:rsid w:val="00522CB3"/>
    <w:rsid w:val="005770BF"/>
    <w:rsid w:val="0064154F"/>
    <w:rsid w:val="0065392A"/>
    <w:rsid w:val="006826DE"/>
    <w:rsid w:val="00721D92"/>
    <w:rsid w:val="00791E3E"/>
    <w:rsid w:val="0079652A"/>
    <w:rsid w:val="007A442E"/>
    <w:rsid w:val="00836360"/>
    <w:rsid w:val="0089059B"/>
    <w:rsid w:val="008A390C"/>
    <w:rsid w:val="008E7B45"/>
    <w:rsid w:val="009545FD"/>
    <w:rsid w:val="009F349A"/>
    <w:rsid w:val="00A70D42"/>
    <w:rsid w:val="00AC2DB1"/>
    <w:rsid w:val="00BD1266"/>
    <w:rsid w:val="00C05D29"/>
    <w:rsid w:val="00C4208F"/>
    <w:rsid w:val="00C75627"/>
    <w:rsid w:val="00C75F3E"/>
    <w:rsid w:val="00C8088C"/>
    <w:rsid w:val="00C95FD3"/>
    <w:rsid w:val="00CF7510"/>
    <w:rsid w:val="00D311EA"/>
    <w:rsid w:val="00D7466C"/>
    <w:rsid w:val="00DB7D09"/>
    <w:rsid w:val="00DC7284"/>
    <w:rsid w:val="00DD7C06"/>
    <w:rsid w:val="00DE2608"/>
    <w:rsid w:val="00E1196D"/>
    <w:rsid w:val="00F16099"/>
    <w:rsid w:val="00FB07AD"/>
    <w:rsid w:val="00F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82CA3-EF13-4A39-8ED2-C259E0F6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11"/>
  </w:style>
  <w:style w:type="paragraph" w:styleId="Heading1">
    <w:name w:val="heading 1"/>
    <w:basedOn w:val="Normal"/>
    <w:next w:val="Normal"/>
    <w:link w:val="Heading1Char"/>
    <w:uiPriority w:val="9"/>
    <w:qFormat/>
    <w:rsid w:val="003C7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75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7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51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05D2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23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2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E502-BDE6-4353-9CB5-B9E41E48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16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16</cp:revision>
  <cp:lastPrinted>2021-12-07T09:03:00Z</cp:lastPrinted>
  <dcterms:created xsi:type="dcterms:W3CDTF">2021-11-29T13:04:00Z</dcterms:created>
  <dcterms:modified xsi:type="dcterms:W3CDTF">2021-12-07T09:35:00Z</dcterms:modified>
</cp:coreProperties>
</file>