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C02" w:rsidRDefault="00D10C02">
      <w:pPr>
        <w:rPr>
          <w:lang w:val="ru-RU"/>
        </w:rPr>
      </w:pPr>
    </w:p>
    <w:p w:rsidR="00F44FB5" w:rsidRDefault="00F44FB5" w:rsidP="00F44FB5">
      <w:pPr>
        <w:jc w:val="center"/>
        <w:rPr>
          <w:lang w:val="ru-RU"/>
        </w:rPr>
      </w:pPr>
    </w:p>
    <w:p w:rsidR="00F44FB5" w:rsidRDefault="00F44FB5" w:rsidP="00F44FB5">
      <w:pPr>
        <w:jc w:val="center"/>
        <w:rPr>
          <w:lang w:val="ru-RU"/>
        </w:rPr>
      </w:pPr>
    </w:p>
    <w:p w:rsidR="00F44FB5" w:rsidRDefault="00F44FB5" w:rsidP="00F44FB5">
      <w:pPr>
        <w:pStyle w:val="Title"/>
        <w:jc w:val="center"/>
        <w:rPr>
          <w:lang w:val="ru-RU"/>
        </w:rPr>
      </w:pPr>
      <w:r>
        <w:rPr>
          <w:lang w:val="ru-RU"/>
        </w:rPr>
        <w:t>Контрольная работа 1 (Вариант 1)</w:t>
      </w:r>
    </w:p>
    <w:p w:rsidR="00F44FB5" w:rsidRDefault="00F44FB5" w:rsidP="00F44FB5">
      <w:pPr>
        <w:jc w:val="center"/>
        <w:rPr>
          <w:sz w:val="28"/>
          <w:lang w:val="ru-RU"/>
        </w:rPr>
      </w:pPr>
      <w:r w:rsidRPr="00F44FB5">
        <w:rPr>
          <w:sz w:val="28"/>
          <w:lang w:val="ru-RU"/>
        </w:rPr>
        <w:t>Буссе А.А.</w:t>
      </w:r>
    </w:p>
    <w:p w:rsidR="00F44FB5" w:rsidRDefault="00F44FB5" w:rsidP="00F44FB5">
      <w:pPr>
        <w:jc w:val="center"/>
        <w:rPr>
          <w:sz w:val="28"/>
          <w:lang w:val="ru-RU"/>
        </w:rPr>
      </w:pPr>
      <w:r>
        <w:rPr>
          <w:sz w:val="28"/>
          <w:lang w:val="ru-RU"/>
        </w:rPr>
        <w:br/>
      </w:r>
    </w:p>
    <w:p w:rsidR="00F44FB5" w:rsidRDefault="00F44FB5">
      <w:pPr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:rsidR="00F44FB5" w:rsidRDefault="00F44FB5" w:rsidP="00F44FB5">
      <w:pPr>
        <w:pStyle w:val="Heading1"/>
        <w:rPr>
          <w:lang w:val="ru-RU"/>
        </w:rPr>
      </w:pPr>
      <w:r>
        <w:rPr>
          <w:lang w:val="ru-RU"/>
        </w:rPr>
        <w:lastRenderedPageBreak/>
        <w:t>Задание 1. Понятие об электромагнитной совместимости технических средств. Может ли техническое средство быть одновременно источником и приемником помех</w:t>
      </w:r>
      <w:r w:rsidRPr="00F44FB5">
        <w:rPr>
          <w:lang w:val="ru-RU"/>
        </w:rPr>
        <w:t>?</w:t>
      </w:r>
      <w:r>
        <w:rPr>
          <w:lang w:val="ru-RU"/>
        </w:rPr>
        <w:t xml:space="preserve"> Нежилательные излучения передающих устройств.</w:t>
      </w:r>
    </w:p>
    <w:p w:rsidR="00F44FB5" w:rsidRDefault="00F44FB5" w:rsidP="00F44FB5">
      <w:pPr>
        <w:rPr>
          <w:lang w:val="ru-RU"/>
        </w:rPr>
      </w:pPr>
    </w:p>
    <w:p w:rsidR="00F44FB5" w:rsidRDefault="00F44FB5" w:rsidP="00683120">
      <w:pPr>
        <w:ind w:firstLine="720"/>
        <w:rPr>
          <w:lang w:val="ru-RU"/>
        </w:rPr>
      </w:pPr>
      <w:r>
        <w:rPr>
          <w:lang w:val="ru-RU"/>
        </w:rPr>
        <w:t>Возможность работы технического средства в определенной электромагнитной обстановке, сохраняя свои качества и не создавая помехи для других устройств и не создавая электромагнитного воздействия на биологичесеие обьекты</w:t>
      </w:r>
      <w:r w:rsidR="00683120">
        <w:rPr>
          <w:lang w:val="ru-RU"/>
        </w:rPr>
        <w:t xml:space="preserve"> выше установленного уровня</w:t>
      </w:r>
      <w:r>
        <w:rPr>
          <w:lang w:val="ru-RU"/>
        </w:rPr>
        <w:t>.</w:t>
      </w:r>
    </w:p>
    <w:p w:rsidR="00683120" w:rsidRDefault="00683120" w:rsidP="00683120">
      <w:pPr>
        <w:ind w:firstLine="720"/>
        <w:rPr>
          <w:lang w:val="ru-RU"/>
        </w:rPr>
      </w:pPr>
      <w:r>
        <w:rPr>
          <w:lang w:val="ru-RU"/>
        </w:rPr>
        <w:t xml:space="preserve">Да, техническое средство может одновременно быть и источником и приемником помех. Да, в случае приемопередатчиков, например, </w:t>
      </w:r>
      <w:r>
        <w:t>TX</w:t>
      </w:r>
      <w:r w:rsidRPr="00683120">
        <w:rPr>
          <w:lang w:val="ru-RU"/>
        </w:rPr>
        <w:t xml:space="preserve"> </w:t>
      </w:r>
      <w:r>
        <w:rPr>
          <w:lang w:val="ru-RU"/>
        </w:rPr>
        <w:t xml:space="preserve">создает сильные помехи для </w:t>
      </w:r>
      <w:r>
        <w:t>RX</w:t>
      </w:r>
      <w:r w:rsidRPr="00683120">
        <w:rPr>
          <w:lang w:val="ru-RU"/>
        </w:rPr>
        <w:t xml:space="preserve"> </w:t>
      </w:r>
      <w:r>
        <w:rPr>
          <w:lang w:val="ru-RU"/>
        </w:rPr>
        <w:t xml:space="preserve">для чего ставится дуплексор, так же, например цифровая часть устройства обычно создает достаточно сильные помехи, вследствие чего ее стараются </w:t>
      </w:r>
      <w:r w:rsidRPr="00683120">
        <w:rPr>
          <w:lang w:val="ru-RU"/>
        </w:rPr>
        <w:t>“</w:t>
      </w:r>
      <w:r>
        <w:rPr>
          <w:lang w:val="ru-RU"/>
        </w:rPr>
        <w:t>отделить</w:t>
      </w:r>
      <w:r w:rsidRPr="00683120">
        <w:rPr>
          <w:lang w:val="ru-RU"/>
        </w:rPr>
        <w:t xml:space="preserve">” </w:t>
      </w:r>
      <w:r>
        <w:rPr>
          <w:lang w:val="ru-RU"/>
        </w:rPr>
        <w:t xml:space="preserve">от чувствительной аналоговой части. </w:t>
      </w:r>
    </w:p>
    <w:p w:rsidR="00683120" w:rsidRDefault="00683120" w:rsidP="00683120">
      <w:pPr>
        <w:ind w:firstLine="720"/>
        <w:rPr>
          <w:lang w:val="ru-RU"/>
        </w:rPr>
      </w:pPr>
      <w:r>
        <w:rPr>
          <w:lang w:val="ru-RU"/>
        </w:rPr>
        <w:t>Нежелательными излучениями передающих устройств являются</w:t>
      </w:r>
      <w:r w:rsidRPr="00683120">
        <w:rPr>
          <w:lang w:val="ru-RU"/>
        </w:rPr>
        <w:t xml:space="preserve">: </w:t>
      </w:r>
      <w:r w:rsidR="00EC14D1">
        <w:rPr>
          <w:lang w:val="ru-RU"/>
        </w:rPr>
        <w:t>излучение на комбинированных частотах к которым в частности относятся гармоники/субгармоники, интермодуляционное излучение (взаимодействие с внешним электромагнитным полем) и паразитное излучение (самовозбуждение передатчика).</w:t>
      </w:r>
    </w:p>
    <w:p w:rsidR="00EC14D1" w:rsidRDefault="00EC14D1" w:rsidP="00EC14D1">
      <w:pPr>
        <w:rPr>
          <w:lang w:val="ru-RU"/>
        </w:rPr>
      </w:pPr>
    </w:p>
    <w:p w:rsidR="00EC14D1" w:rsidRDefault="00EC14D1" w:rsidP="00EC14D1">
      <w:pPr>
        <w:pStyle w:val="Heading1"/>
        <w:rPr>
          <w:lang w:val="ru-RU"/>
        </w:rPr>
      </w:pPr>
      <w:r>
        <w:rPr>
          <w:lang w:val="ru-RU"/>
        </w:rPr>
        <w:t>Задание 2</w:t>
      </w:r>
      <w:r w:rsidRPr="00EC14D1">
        <w:rPr>
          <w:lang w:val="ru-RU"/>
        </w:rPr>
        <w:t>:</w:t>
      </w:r>
      <w:r>
        <w:rPr>
          <w:lang w:val="ru-RU"/>
        </w:rPr>
        <w:t xml:space="preserve"> Рассчитать коэффициент прохождения и отражения электромагнитной волны с частотой 1800 МГц через бетонную стену толщиной 20 см</w:t>
      </w:r>
    </w:p>
    <w:p w:rsidR="00EC14D1" w:rsidRPr="004F465F" w:rsidRDefault="00EC14D1" w:rsidP="00EC14D1">
      <w:pPr>
        <w:rPr>
          <w:rFonts w:eastAsiaTheme="minorEastAsia"/>
          <w:i/>
          <w:lang w:val="ru-RU"/>
        </w:rPr>
      </w:pPr>
      <w:r>
        <w:rPr>
          <w:lang w:val="ru-RU"/>
        </w:rPr>
        <w:t>Дано</w:t>
      </w:r>
      <w:r w:rsidRPr="00EC14D1">
        <w:rPr>
          <w:lang w:val="ru-RU"/>
        </w:rPr>
        <w:t xml:space="preserve">: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 xml:space="preserve">=1.8 </m:t>
        </m:r>
        <m:r>
          <w:rPr>
            <w:rFonts w:ascii="Cambria Math" w:hAnsi="Cambria Math"/>
            <w:lang w:val="ru-RU"/>
          </w:rPr>
          <m:t xml:space="preserve">ГГц, 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ru-RU"/>
          </w:rPr>
          <m:t>=0.2</m:t>
        </m:r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  <w:lang w:val="ru-RU"/>
          </w:rPr>
          <m:t>м, ϵ=4.5</m:t>
        </m:r>
        <m:r>
          <w:rPr>
            <w:rFonts w:ascii="Cambria Math" w:hAnsi="Cambria Math"/>
            <w:lang w:val="ru-RU"/>
          </w:rPr>
          <m:t>, падение считаем нормальным.</m:t>
        </m:r>
      </m:oMath>
    </w:p>
    <w:p w:rsidR="00EC14D1" w:rsidRDefault="00EC14D1" w:rsidP="00EC14D1">
      <w:pPr>
        <w:rPr>
          <w:rFonts w:eastAsiaTheme="minorEastAsia"/>
        </w:rPr>
      </w:pPr>
      <w:r>
        <w:rPr>
          <w:rFonts w:eastAsiaTheme="minorEastAsia"/>
          <w:lang w:val="ru-RU"/>
        </w:rPr>
        <w:t>Для рассчета использовалась формула</w:t>
      </w:r>
      <w:r>
        <w:rPr>
          <w:rFonts w:eastAsiaTheme="minorEastAsia"/>
        </w:rPr>
        <w:t xml:space="preserve">: </w:t>
      </w:r>
    </w:p>
    <w:p w:rsidR="00EC14D1" w:rsidRPr="00EC14D1" w:rsidRDefault="00EC14D1" w:rsidP="00EC14D1">
      <w:pPr>
        <w:rPr>
          <w:rFonts w:eastAsiaTheme="minorEastAsia"/>
          <w:i/>
          <w:iCs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M=</m:t>
          </m:r>
          <m:d>
            <m:d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lang w:val="ru-RU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lang w:val="ru-RU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d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ru-RU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α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j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p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lang w:val="ru-RU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lang w:val="ru-RU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d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ru-RU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α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-jp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lang w:val="ru-RU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lang w:val="ru-RU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d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ru-RU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α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lang w:val="ru-RU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lang w:val="ru-RU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d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ru-RU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α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EC14D1" w:rsidRPr="00FA0600" w:rsidRDefault="00EC14D1" w:rsidP="00EC14D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EC14D1" w:rsidRPr="002F60CA" w:rsidRDefault="00EC14D1" w:rsidP="00EC14D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683120" w:rsidRPr="004F465F" w:rsidRDefault="00EC14D1" w:rsidP="00F44FB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k=w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ϵ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rad>
          <m:r>
            <w:rPr>
              <w:rFonts w:ascii="Cambria Math" w:hAnsi="Cambria Math"/>
            </w:rPr>
            <m:t>=75.66</m:t>
          </m:r>
        </m:oMath>
      </m:oMathPara>
    </w:p>
    <w:p w:rsidR="004F465F" w:rsidRPr="004F465F" w:rsidRDefault="004F465F" w:rsidP="00F44FB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ρ=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ϵ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=168.17</m:t>
          </m:r>
        </m:oMath>
      </m:oMathPara>
    </w:p>
    <w:p w:rsidR="004F465F" w:rsidRPr="004F465F" w:rsidRDefault="004F465F" w:rsidP="00F44FB5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=356.74</m:t>
          </m:r>
        </m:oMath>
      </m:oMathPara>
    </w:p>
    <w:p w:rsidR="004F465F" w:rsidRDefault="004F465F" w:rsidP="00F44FB5">
      <w:pPr>
        <w:rPr>
          <w:rFonts w:eastAsiaTheme="minorEastAsia"/>
        </w:rPr>
      </w:pPr>
      <w:r>
        <w:rPr>
          <w:rFonts w:eastAsiaTheme="minorEastAsia"/>
          <w:lang w:val="ru-RU"/>
        </w:rPr>
        <w:lastRenderedPageBreak/>
        <w:t>Результаты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>рассчетов</w:t>
      </w:r>
      <w:r>
        <w:rPr>
          <w:rFonts w:eastAsiaTheme="minorEastAsia"/>
        </w:rPr>
        <w:t>:</w:t>
      </w:r>
    </w:p>
    <w:p w:rsidR="004F465F" w:rsidRPr="004F465F" w:rsidRDefault="004F465F" w:rsidP="00F44FB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-0.839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-0.003j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-91.62j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-0.839</m:t>
                    </m:r>
                  </m:e>
                </m:mr>
              </m:m>
            </m:e>
          </m:d>
        </m:oMath>
      </m:oMathPara>
    </w:p>
    <w:p w:rsidR="00CA4EC2" w:rsidRPr="00CA4EC2" w:rsidRDefault="004F465F" w:rsidP="00F44FB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R=0.264+0.31</m:t>
          </m:r>
          <m:r>
            <w:rPr>
              <w:rFonts w:ascii="Cambria Math" w:eastAsiaTheme="minorEastAsia" w:hAnsi="Cambria Math"/>
            </w:rPr>
            <m:t xml:space="preserve">4j </m:t>
          </m:r>
        </m:oMath>
      </m:oMathPara>
    </w:p>
    <w:p w:rsidR="004F465F" w:rsidRPr="00CA4EC2" w:rsidRDefault="00CA4EC2" w:rsidP="00F44FB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T=-0.698+0.588j</m:t>
          </m:r>
        </m:oMath>
      </m:oMathPara>
    </w:p>
    <w:p w:rsidR="00CA4EC2" w:rsidRDefault="00CA4EC2" w:rsidP="00F44FB5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Коэффициент отражения</w:t>
      </w:r>
      <w:r w:rsidRPr="00CA4EC2">
        <w:rPr>
          <w:rFonts w:eastAsiaTheme="minorEastAsia"/>
          <w:lang w:val="ru-RU"/>
        </w:rPr>
        <w:t>/</w:t>
      </w:r>
      <w:r>
        <w:rPr>
          <w:rFonts w:eastAsiaTheme="minorEastAsia"/>
          <w:lang w:val="ru-RU"/>
        </w:rPr>
        <w:t>прохождения по мощности</w:t>
      </w:r>
      <w:r w:rsidRPr="00CA4EC2">
        <w:rPr>
          <w:rFonts w:eastAsiaTheme="minorEastAsia"/>
          <w:lang w:val="ru-RU"/>
        </w:rPr>
        <w:t>:</w:t>
      </w:r>
    </w:p>
    <w:p w:rsidR="00CA4EC2" w:rsidRPr="00E84BFE" w:rsidRDefault="00CA4EC2" w:rsidP="00CA4EC2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H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p>
          </m:sSup>
        </m:oMath>
      </m:oMathPara>
    </w:p>
    <w:p w:rsidR="00CA4EC2" w:rsidRPr="00CA4EC2" w:rsidRDefault="00CA4EC2" w:rsidP="00CA4EC2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H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при нормальном падении</m:t>
                  </m: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+среда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до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после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одинаковая</m:t>
                  </m:r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H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p>
          </m:sSup>
        </m:oMath>
      </m:oMathPara>
    </w:p>
    <w:p w:rsidR="00CA4EC2" w:rsidRDefault="00CA4EC2" w:rsidP="00CA4EC2">
      <w:pPr>
        <w:rPr>
          <w:rFonts w:eastAsiaTheme="minorEastAsia"/>
        </w:rPr>
      </w:pPr>
      <w:r>
        <w:rPr>
          <w:rFonts w:eastAsiaTheme="minorEastAsia"/>
          <w:lang w:val="ru-RU"/>
        </w:rPr>
        <w:t>Результаты</w:t>
      </w:r>
      <w:r>
        <w:rPr>
          <w:rFonts w:eastAsiaTheme="minorEastAsia"/>
        </w:rPr>
        <w:t>:</w:t>
      </w:r>
    </w:p>
    <w:p w:rsidR="00CA4EC2" w:rsidRPr="00CA4EC2" w:rsidRDefault="00CA4EC2" w:rsidP="00CA4E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=0.168</m:t>
          </m:r>
        </m:oMath>
      </m:oMathPara>
    </w:p>
    <w:p w:rsidR="00CA4EC2" w:rsidRPr="00CA4EC2" w:rsidRDefault="00CA4EC2" w:rsidP="00CA4E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=0.832</m:t>
          </m:r>
        </m:oMath>
      </m:oMathPara>
    </w:p>
    <w:p w:rsidR="00CA4EC2" w:rsidRPr="00CA4EC2" w:rsidRDefault="00CA4EC2" w:rsidP="00F44FB5">
      <w:pPr>
        <w:rPr>
          <w:rFonts w:eastAsiaTheme="minorEastAsia"/>
          <w:lang w:val="ru-RU"/>
        </w:rPr>
      </w:pPr>
    </w:p>
    <w:p w:rsidR="00CA4EC2" w:rsidRPr="00CA4EC2" w:rsidRDefault="00CA4EC2" w:rsidP="00F44FB5">
      <w:pPr>
        <w:rPr>
          <w:rFonts w:eastAsiaTheme="minorEastAsia"/>
          <w:lang w:val="ru-RU"/>
        </w:rPr>
      </w:pPr>
    </w:p>
    <w:p w:rsidR="004F465F" w:rsidRPr="00CA4EC2" w:rsidRDefault="004F465F" w:rsidP="00F44FB5">
      <w:pPr>
        <w:rPr>
          <w:rFonts w:eastAsiaTheme="minorEastAsia"/>
          <w:lang w:val="ru-RU"/>
        </w:rPr>
      </w:pPr>
      <w:bookmarkStart w:id="0" w:name="_GoBack"/>
      <w:bookmarkEnd w:id="0"/>
    </w:p>
    <w:p w:rsidR="004F465F" w:rsidRPr="00CA4EC2" w:rsidRDefault="004F465F" w:rsidP="00F44FB5">
      <w:pPr>
        <w:rPr>
          <w:lang w:val="ru-RU"/>
        </w:rPr>
      </w:pPr>
    </w:p>
    <w:sectPr w:rsidR="004F465F" w:rsidRPr="00CA4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935"/>
    <w:rsid w:val="004F465F"/>
    <w:rsid w:val="00683120"/>
    <w:rsid w:val="00991935"/>
    <w:rsid w:val="00CA4EC2"/>
    <w:rsid w:val="00D10C02"/>
    <w:rsid w:val="00EC14D1"/>
    <w:rsid w:val="00F4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B5D68"/>
  <w15:chartTrackingRefBased/>
  <w15:docId w15:val="{82E58250-5836-4C16-A8D4-202F64D3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F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4F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4F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C14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буссе</dc:creator>
  <cp:keywords/>
  <dc:description/>
  <cp:lastModifiedBy>саша буссе</cp:lastModifiedBy>
  <cp:revision>2</cp:revision>
  <dcterms:created xsi:type="dcterms:W3CDTF">2022-04-06T06:10:00Z</dcterms:created>
  <dcterms:modified xsi:type="dcterms:W3CDTF">2022-04-06T07:03:00Z</dcterms:modified>
</cp:coreProperties>
</file>