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extAlignment w:val="center"/>
        <w:rPr>
          <w:rFonts w:cs="Calibri" w:ascii="Calibri" w:hAnsi="Calibri"/>
          <w:b/>
          <w:bCs/>
          <w:position w:val="17"/>
        </w:rPr>
      </w:pPr>
      <w:r>
        <w:rPr>
          <w:rFonts w:cs="Calibri" w:ascii="Calibri" w:hAnsi="Calibri"/>
          <w:b/>
          <w:bCs/>
          <w:position w:val="17"/>
        </w:rPr>
        <w:t>Optimized strategies of HCV treatment among substance users</w:t>
      </w:r>
    </w:p>
    <w:p>
      <w:pPr>
        <w:pStyle w:val="Normal"/>
        <w:textAlignment w:val="center"/>
        <w:rPr/>
      </w:pPr>
      <w:r>
        <w:rPr/>
      </w:r>
    </w:p>
    <w:p>
      <w:pPr>
        <w:pStyle w:val="Heading2"/>
        <w:rPr>
          <w:b/>
          <w:bCs/>
        </w:rPr>
      </w:pPr>
      <w:r>
        <w:rPr>
          <w:b/>
          <w:bCs/>
        </w:rPr>
        <w:t>Introduction</w:t>
      </w:r>
    </w:p>
    <w:p>
      <w:pPr>
        <w:pStyle w:val="TextBody"/>
        <w:rPr/>
      </w:pPr>
      <w:r>
        <w:rPr/>
        <w:t>Treatment of HCV infections has been revolutionized with the introduction of highly-potennt antivirals.  These antivirals can be given as oral pills and over a 6-12 week treatment achieve cure rates of 95% or higher.  Using these antivirals it would be possible to irradicate HCV in rich countries. The treatment could even be introduced in populations that experience very high prevalence of HCV, particularly people who inject drugs (PWID).</w:t>
      </w:r>
    </w:p>
    <w:p>
      <w:pPr>
        <w:pStyle w:val="TextBody"/>
        <w:rPr/>
      </w:pPr>
      <w:r>
        <w:rPr/>
        <w:t>Because of the high cost of large scale interventions, it is valuable to perform detailed studies that estimate the likely results in terms of treatment cost and impact on HCV prevalence.  Several studies have examined the implementation of HCV treatment in PWID, including one by our team</w:t>
      </w:r>
      <w:r>
        <w:rPr>
          <w:rStyle w:val="FootnoteAnchor"/>
        </w:rPr>
        <w:footnoteReference w:id="2"/>
      </w:r>
      <w:r>
        <w:rPr/>
        <w:t xml:space="preserve">.  However, with some exceptions (REF) the studies model the PWID population using a differential-equation models (ODEs).  Although ODEs can provide valuable insights into disease dynamics, they aggregate the population to a small system of equations.  As a result of this aggregation, there is a loss of realism and all details about the geography, network and individual characteristics are not considered. </w:t>
      </w:r>
    </w:p>
    <w:p>
      <w:pPr>
        <w:pStyle w:val="TextBody"/>
        <w:rPr/>
      </w:pPr>
      <w:r>
        <w:rPr/>
        <w:t>An agent-based modeling strategy, which represents each individual in the population and their health and behavior, allows a more realistic assessment of the impacts of a large-scale anti-HCV intervention. Therefore, in this paper we examine the likely outcome of a large-scale HCV treatment program targeting the PWID population.  Our study examines:</w:t>
      </w:r>
    </w:p>
    <w:p>
      <w:pPr>
        <w:pStyle w:val="TextBody"/>
        <w:numPr>
          <w:ilvl w:val="0"/>
          <w:numId w:val="3"/>
        </w:numPr>
        <w:rPr/>
      </w:pPr>
      <w:r>
        <w:rPr/>
        <w:t>The efficacy of various recruitment strategies of PWID</w:t>
      </w:r>
    </w:p>
    <w:p>
      <w:pPr>
        <w:pStyle w:val="TextBody"/>
        <w:numPr>
          <w:ilvl w:val="0"/>
          <w:numId w:val="3"/>
        </w:numPr>
        <w:rPr/>
      </w:pPr>
      <w:r>
        <w:rPr/>
        <w:t>The tradeoff between cost (scale of recruitment) and HCV prevalence</w:t>
      </w:r>
    </w:p>
    <w:p>
      <w:pPr>
        <w:pStyle w:val="TextBody"/>
        <w:numPr>
          <w:ilvl w:val="0"/>
          <w:numId w:val="3"/>
        </w:numPr>
        <w:rPr/>
      </w:pPr>
      <w:r>
        <w:rPr/>
        <w:t>Optimize the implementation of the study to better achieve public health outcomes and reduce the cost</w:t>
      </w:r>
    </w:p>
    <w:p>
      <w:pPr>
        <w:pStyle w:val="TextBody"/>
        <w:rPr/>
      </w:pPr>
      <w:r>
        <w:rPr/>
      </w:r>
    </w:p>
    <w:p>
      <w:pPr>
        <w:pStyle w:val="Normal"/>
        <w:textAlignment w:val="center"/>
        <w:rPr/>
      </w:pPr>
      <w:r>
        <w:rPr/>
      </w:r>
    </w:p>
    <w:p>
      <w:pPr>
        <w:pStyle w:val="Normal"/>
        <w:textAlignment w:val="center"/>
        <w:rPr/>
      </w:pPr>
      <w:r>
        <w:rPr/>
      </w:r>
    </w:p>
    <w:p>
      <w:pPr>
        <w:pStyle w:val="Heading2"/>
        <w:rPr>
          <w:b/>
          <w:bCs/>
        </w:rPr>
      </w:pPr>
      <w:r>
        <w:rPr>
          <w:b/>
          <w:bCs/>
        </w:rPr>
        <w:t>Methods</w:t>
      </w:r>
    </w:p>
    <w:p>
      <w:pPr>
        <w:pStyle w:val="TextBody"/>
        <w:textAlignment w:val="center"/>
        <w:rPr>
          <w:shd w:fill="FFFF00" w:val="clear"/>
        </w:rPr>
      </w:pPr>
      <w:r>
        <w:rPr/>
        <w:t>In this study we extend our previous research into modeling of HCV infections among PWID</w:t>
      </w:r>
      <w:r>
        <w:rPr>
          <w:rStyle w:val="FootnoteAnchor"/>
        </w:rPr>
        <w:footnoteReference w:id="3"/>
      </w:r>
      <w:r>
        <w:rPr/>
        <w:t xml:space="preserve">.  The previously developed agent-based model, termed APK was extended to incorporate (1) recruitment for treatment, (2) HCV dynamics during treatment, (3) </w:t>
      </w:r>
      <w:r>
        <w:rPr>
          <w:shd w:fill="FFFF00" w:val="clear"/>
        </w:rPr>
        <w:t>TBD</w:t>
      </w:r>
    </w:p>
    <w:p>
      <w:pPr>
        <w:pStyle w:val="TextBody"/>
        <w:textAlignment w:val="center"/>
        <w:rPr/>
      </w:pPr>
      <w:r>
        <w:rPr/>
      </w:r>
    </w:p>
    <w:p>
      <w:pPr>
        <w:pStyle w:val="Normal"/>
        <w:textAlignment w:val="center"/>
        <w:rPr>
          <w:rFonts w:cs="Calibri" w:ascii="Calibri" w:hAnsi="Calibri"/>
          <w:b w:val="false"/>
          <w:bCs w:val="false"/>
          <w:shd w:fill="FFFF00" w:val="clear"/>
        </w:rPr>
      </w:pPr>
      <w:r>
        <w:rPr>
          <w:rFonts w:cs="Calibri" w:ascii="Calibri" w:hAnsi="Calibri"/>
          <w:b w:val="false"/>
          <w:bCs w:val="false"/>
          <w:shd w:fill="FFFF00" w:val="clear"/>
        </w:rPr>
        <w:t xml:space="preserve">This document describes </w:t>
      </w:r>
      <w:r>
        <w:rPr>
          <w:rFonts w:cs="Calibri" w:ascii="Calibri" w:hAnsi="Calibri"/>
          <w:b w:val="false"/>
          <w:bCs w:val="false"/>
          <w:i/>
          <w:iCs/>
          <w:shd w:fill="FFFF00" w:val="clear"/>
        </w:rPr>
        <w:t>completed</w:t>
      </w:r>
      <w:r>
        <w:rPr>
          <w:rFonts w:cs="Calibri" w:ascii="Calibri" w:hAnsi="Calibri"/>
          <w:b w:val="false"/>
          <w:bCs w:val="false"/>
          <w:shd w:fill="FFFF00" w:val="clear"/>
        </w:rPr>
        <w:t xml:space="preserve"> changes to the APK software to account to HCV treatment with directed-acting antivirals (DAAs).  </w:t>
      </w:r>
    </w:p>
    <w:p>
      <w:pPr>
        <w:pStyle w:val="Normal"/>
        <w:textAlignment w:val="center"/>
        <w:rPr>
          <w:shd w:fill="FFFF00" w:val="clear"/>
        </w:rPr>
      </w:pPr>
      <w:r>
        <w:rPr>
          <w:shd w:fill="FFFF00" w:val="clear"/>
        </w:rPr>
      </w:r>
    </w:p>
    <w:p>
      <w:pPr>
        <w:pStyle w:val="Normal"/>
        <w:textAlignment w:val="center"/>
        <w:rPr>
          <w:rFonts w:cs="Calibri" w:ascii="Calibri" w:hAnsi="Calibri"/>
          <w:shd w:fill="FFFF00" w:val="clear"/>
        </w:rPr>
      </w:pPr>
      <w:r>
        <w:rPr>
          <w:rFonts w:cs="Calibri" w:ascii="Calibri" w:hAnsi="Calibri"/>
          <w:shd w:fill="FFFF00" w:val="clear"/>
        </w:rPr>
        <w:t>Additional changes / modifications are possible.</w:t>
      </w:r>
    </w:p>
    <w:p>
      <w:pPr>
        <w:pStyle w:val="Normal"/>
        <w:textAlignment w:val="center"/>
        <w:rPr/>
      </w:pPr>
      <w:r>
        <w:rPr/>
      </w:r>
    </w:p>
    <w:p>
      <w:pPr>
        <w:pStyle w:val="Normal"/>
        <w:textAlignment w:val="center"/>
        <w:rPr>
          <w:rStyle w:val="FootnoteAnchor"/>
          <w:rFonts w:cs="Calibri" w:ascii="Calibri" w:hAnsi="Calibri"/>
          <w:b/>
        </w:rPr>
      </w:pPr>
      <w:r>
        <w:rPr>
          <w:rFonts w:cs="Calibri" w:ascii="Calibri" w:hAnsi="Calibri"/>
          <w:b/>
        </w:rPr>
        <w:t>Table AV: Antiviral treatment parameters.  Values are tentative.</w:t>
      </w:r>
      <w:r>
        <w:rPr>
          <w:rStyle w:val="FootnoteAnchor"/>
          <w:rFonts w:cs="Calibri" w:ascii="Calibri" w:hAnsi="Calibri"/>
          <w:b/>
        </w:rPr>
        <w:footnoteReference w:id="4"/>
      </w:r>
    </w:p>
    <w:tbl>
      <w:tblPr>
        <w:jc w:val="left"/>
        <w:tblInd w:w="-418" w:type="dxa"/>
        <w:tblBorders>
          <w:top w:val="nil"/>
          <w:left w:val="nil"/>
          <w:bottom w:val="nil"/>
          <w:insideH w:val="nil"/>
          <w:right w:val="nil"/>
          <w:insideV w:val="nil"/>
        </w:tblBorders>
        <w:tblCellMar>
          <w:top w:w="0" w:type="dxa"/>
          <w:left w:w="108" w:type="dxa"/>
          <w:bottom w:w="0" w:type="dxa"/>
          <w:right w:w="108" w:type="dxa"/>
        </w:tblCellMar>
      </w:tblPr>
      <w:tblGrid>
        <w:gridCol w:w="3865"/>
        <w:gridCol w:w="1785"/>
        <w:gridCol w:w="1784"/>
        <w:gridCol w:w="2915"/>
      </w:tblGrid>
      <w:tr>
        <w:trPr>
          <w:cantSplit w:val="false"/>
        </w:trPr>
        <w:tc>
          <w:tcPr>
            <w:tcW w:w="3865" w:type="dxa"/>
            <w:tcBorders>
              <w:top w:val="nil"/>
              <w:left w:val="nil"/>
              <w:bottom w:val="nil"/>
              <w:insideH w:val="nil"/>
              <w:right w:val="nil"/>
              <w:insideV w:val="nil"/>
            </w:tcBorders>
            <w:shd w:fill="FFFFFF" w:val="clear"/>
          </w:tcPr>
          <w:p>
            <w:pPr>
              <w:pStyle w:val="Normal"/>
              <w:textAlignment w:val="center"/>
              <w:rPr>
                <w:rFonts w:cs="Calibri" w:ascii="Calibri" w:hAnsi="Calibri"/>
                <w:b/>
                <w:bCs/>
              </w:rPr>
            </w:pPr>
            <w:r>
              <w:rPr>
                <w:rFonts w:cs="Calibri" w:ascii="Calibri" w:hAnsi="Calibri"/>
                <w:b/>
                <w:bCs/>
              </w:rPr>
              <w:t>Parameter</w:t>
            </w:r>
          </w:p>
        </w:tc>
        <w:tc>
          <w:tcPr>
            <w:tcW w:w="1785" w:type="dxa"/>
            <w:tcBorders>
              <w:top w:val="nil"/>
              <w:left w:val="nil"/>
              <w:bottom w:val="nil"/>
              <w:insideH w:val="nil"/>
              <w:right w:val="nil"/>
              <w:insideV w:val="nil"/>
            </w:tcBorders>
            <w:shd w:fill="FFFFFF" w:val="clear"/>
          </w:tcPr>
          <w:p>
            <w:pPr>
              <w:pStyle w:val="Normal"/>
              <w:textAlignment w:val="center"/>
              <w:rPr>
                <w:rFonts w:cs="Calibri" w:ascii="Calibri" w:hAnsi="Calibri"/>
                <w:b/>
                <w:bCs/>
              </w:rPr>
            </w:pPr>
            <w:r>
              <w:rPr>
                <w:rFonts w:cs="Calibri" w:ascii="Calibri" w:hAnsi="Calibri"/>
                <w:b/>
                <w:bCs/>
              </w:rPr>
              <w:t>Value</w:t>
            </w:r>
          </w:p>
        </w:tc>
        <w:tc>
          <w:tcPr>
            <w:tcW w:w="1784" w:type="dxa"/>
            <w:tcBorders>
              <w:top w:val="nil"/>
              <w:left w:val="nil"/>
              <w:bottom w:val="nil"/>
              <w:insideH w:val="nil"/>
              <w:right w:val="nil"/>
              <w:insideV w:val="nil"/>
            </w:tcBorders>
            <w:shd w:fill="FFFFFF" w:val="clear"/>
          </w:tcPr>
          <w:p>
            <w:pPr>
              <w:pStyle w:val="Normal"/>
              <w:textAlignment w:val="center"/>
              <w:rPr>
                <w:b/>
                <w:bCs/>
              </w:rPr>
            </w:pPr>
            <w:r>
              <w:rPr>
                <w:b/>
                <w:bCs/>
              </w:rPr>
              <w:t>Range</w:t>
            </w:r>
          </w:p>
        </w:tc>
        <w:tc>
          <w:tcPr>
            <w:tcW w:w="2915" w:type="dxa"/>
            <w:tcBorders>
              <w:top w:val="nil"/>
              <w:left w:val="nil"/>
              <w:bottom w:val="nil"/>
              <w:insideH w:val="nil"/>
              <w:right w:val="nil"/>
              <w:insideV w:val="nil"/>
            </w:tcBorders>
            <w:shd w:fill="FFFFFF" w:val="clear"/>
          </w:tcPr>
          <w:p>
            <w:pPr>
              <w:pStyle w:val="Normal"/>
              <w:textAlignment w:val="center"/>
              <w:rPr>
                <w:rFonts w:cs="Calibri" w:ascii="Calibri" w:hAnsi="Calibri"/>
                <w:b/>
                <w:bCs/>
              </w:rPr>
            </w:pPr>
            <w:r>
              <w:rPr>
                <w:rFonts w:cs="Calibri" w:ascii="Calibri" w:hAnsi="Calibri"/>
                <w:b/>
                <w:bCs/>
              </w:rPr>
              <w:t>Range and References</w:t>
            </w:r>
          </w:p>
        </w:tc>
      </w:tr>
      <w:tr>
        <w:trPr>
          <w:cantSplit w:val="false"/>
        </w:trPr>
        <w:tc>
          <w:tcPr>
            <w:tcW w:w="3865" w:type="dxa"/>
            <w:tcBorders>
              <w:top w:val="nil"/>
              <w:left w:val="nil"/>
              <w:bottom w:val="nil"/>
              <w:insideH w:val="nil"/>
              <w:right w:val="nil"/>
              <w:insideV w:val="nil"/>
            </w:tcBorders>
            <w:shd w:fill="FFFFFF" w:val="clear"/>
          </w:tcPr>
          <w:p>
            <w:pPr>
              <w:pStyle w:val="Normal"/>
              <w:ind w:left="-93" w:right="-3" w:hanging="0"/>
              <w:jc w:val="left"/>
              <w:rPr/>
            </w:pPr>
            <w:r>
              <w:rPr/>
              <w:t xml:space="preserve"> </w:t>
            </w:r>
            <w:r>
              <w:rPr/>
              <w:t>treatment_enrollment_rate</w:t>
            </w:r>
          </w:p>
        </w:tc>
        <w:tc>
          <w:tcPr>
            <w:tcW w:w="1785" w:type="dxa"/>
            <w:tcBorders>
              <w:top w:val="nil"/>
              <w:left w:val="nil"/>
              <w:bottom w:val="nil"/>
              <w:insideH w:val="nil"/>
              <w:right w:val="nil"/>
              <w:insideV w:val="nil"/>
            </w:tcBorders>
            <w:shd w:fill="FFFFFF" w:val="clear"/>
          </w:tcPr>
          <w:p>
            <w:pPr>
              <w:pStyle w:val="Normal"/>
              <w:jc w:val="left"/>
              <w:rPr/>
            </w:pPr>
            <w:r>
              <w:rPr/>
              <w:t>10 per 1000</w:t>
            </w:r>
          </w:p>
        </w:tc>
        <w:tc>
          <w:tcPr>
            <w:tcW w:w="1784" w:type="dxa"/>
            <w:tcBorders>
              <w:top w:val="nil"/>
              <w:left w:val="nil"/>
              <w:bottom w:val="nil"/>
              <w:insideH w:val="nil"/>
              <w:right w:val="nil"/>
              <w:insideV w:val="nil"/>
            </w:tcBorders>
            <w:shd w:fill="FFFFFF" w:val="clear"/>
          </w:tcPr>
          <w:p>
            <w:pPr>
              <w:pStyle w:val="Normal"/>
              <w:jc w:val="left"/>
              <w:rPr/>
            </w:pPr>
            <w:r>
              <w:rPr/>
              <w:t>varied in simulations</w:t>
            </w:r>
          </w:p>
        </w:tc>
        <w:tc>
          <w:tcPr>
            <w:tcW w:w="2915" w:type="dxa"/>
            <w:tcBorders>
              <w:top w:val="nil"/>
              <w:left w:val="nil"/>
              <w:bottom w:val="nil"/>
              <w:insideH w:val="nil"/>
              <w:right w:val="nil"/>
              <w:insideV w:val="nil"/>
            </w:tcBorders>
            <w:shd w:fill="FFFFFF" w:val="clear"/>
          </w:tcPr>
          <w:p>
            <w:pPr>
              <w:pStyle w:val="Normal"/>
              <w:jc w:val="left"/>
              <w:rPr/>
            </w:pPr>
            <w:r>
              <w:rPr/>
              <w:t xml:space="preserve">[0, 1000]  </w:t>
            </w:r>
          </w:p>
        </w:tc>
      </w:tr>
      <w:tr>
        <w:trPr>
          <w:cantSplit w:val="false"/>
        </w:trPr>
        <w:tc>
          <w:tcPr>
            <w:tcW w:w="3865" w:type="dxa"/>
            <w:tcBorders>
              <w:top w:val="nil"/>
              <w:left w:val="nil"/>
              <w:bottom w:val="nil"/>
              <w:insideH w:val="nil"/>
              <w:right w:val="nil"/>
              <w:insideV w:val="nil"/>
            </w:tcBorders>
            <w:shd w:fill="FFFFFF" w:val="clear"/>
          </w:tcPr>
          <w:p>
            <w:pPr>
              <w:pStyle w:val="Normal"/>
              <w:ind w:left="-93" w:right="-3" w:hanging="0"/>
              <w:jc w:val="left"/>
              <w:rPr/>
            </w:pPr>
            <w:r>
              <w:rPr/>
              <w:t xml:space="preserve"> </w:t>
            </w:r>
            <w:r>
              <w:rPr/>
              <w:t>treatment_enrollment_start_delay</w:t>
            </w:r>
          </w:p>
        </w:tc>
        <w:tc>
          <w:tcPr>
            <w:tcW w:w="1785" w:type="dxa"/>
            <w:tcBorders>
              <w:top w:val="nil"/>
              <w:left w:val="nil"/>
              <w:bottom w:val="nil"/>
              <w:insideH w:val="nil"/>
              <w:right w:val="nil"/>
              <w:insideV w:val="nil"/>
            </w:tcBorders>
            <w:shd w:fill="FFFFFF" w:val="clear"/>
          </w:tcPr>
          <w:p>
            <w:pPr>
              <w:pStyle w:val="Normal"/>
              <w:jc w:val="left"/>
              <w:rPr/>
            </w:pPr>
            <w:r>
              <w:rPr/>
              <w:t>2190 days</w:t>
            </w:r>
          </w:p>
        </w:tc>
        <w:tc>
          <w:tcPr>
            <w:tcW w:w="1784" w:type="dxa"/>
            <w:tcBorders>
              <w:top w:val="nil"/>
              <w:left w:val="nil"/>
              <w:bottom w:val="nil"/>
              <w:insideH w:val="nil"/>
              <w:right w:val="nil"/>
              <w:insideV w:val="nil"/>
            </w:tcBorders>
            <w:shd w:fill="FFFFFF" w:val="clear"/>
          </w:tcPr>
          <w:p>
            <w:pPr>
              <w:pStyle w:val="Normal"/>
              <w:jc w:val="left"/>
              <w:rPr/>
            </w:pPr>
            <w:r>
              <w:rPr/>
            </w:r>
          </w:p>
        </w:tc>
        <w:tc>
          <w:tcPr>
            <w:tcW w:w="2915" w:type="dxa"/>
            <w:tcBorders>
              <w:top w:val="nil"/>
              <w:left w:val="nil"/>
              <w:bottom w:val="nil"/>
              <w:insideH w:val="nil"/>
              <w:right w:val="nil"/>
              <w:insideV w:val="nil"/>
            </w:tcBorders>
            <w:shd w:fill="FFFFFF" w:val="clear"/>
          </w:tcPr>
          <w:p>
            <w:pPr>
              <w:pStyle w:val="Normal"/>
              <w:jc w:val="left"/>
              <w:rPr/>
            </w:pPr>
            <w:r>
              <w:rPr/>
              <w:t>Effective start is 2016/1/1</w:t>
            </w:r>
          </w:p>
          <w:p>
            <w:pPr>
              <w:pStyle w:val="Normal"/>
              <w:jc w:val="left"/>
              <w:rPr/>
            </w:pPr>
            <w:r>
              <w:rPr/>
              <w:t>based on simulation start of 2010/1/1</w:t>
            </w:r>
          </w:p>
        </w:tc>
      </w:tr>
      <w:tr>
        <w:trPr>
          <w:cantSplit w:val="false"/>
        </w:trPr>
        <w:tc>
          <w:tcPr>
            <w:tcW w:w="3865" w:type="dxa"/>
            <w:tcBorders>
              <w:top w:val="nil"/>
              <w:left w:val="nil"/>
              <w:bottom w:val="nil"/>
              <w:insideH w:val="nil"/>
              <w:right w:val="nil"/>
              <w:insideV w:val="nil"/>
            </w:tcBorders>
            <w:shd w:fill="FFFFFF" w:val="clear"/>
          </w:tcPr>
          <w:p>
            <w:pPr>
              <w:pStyle w:val="Normal"/>
              <w:ind w:left="-93" w:right="-3" w:hanging="0"/>
              <w:jc w:val="left"/>
              <w:rPr/>
            </w:pPr>
            <w:r>
              <w:rPr/>
              <w:t xml:space="preserve"> </w:t>
            </w:r>
            <w:r>
              <w:rPr/>
              <w:t>treatment_enrollment_method</w:t>
            </w:r>
          </w:p>
        </w:tc>
        <w:tc>
          <w:tcPr>
            <w:tcW w:w="1785" w:type="dxa"/>
            <w:tcBorders>
              <w:top w:val="nil"/>
              <w:left w:val="nil"/>
              <w:bottom w:val="nil"/>
              <w:insideH w:val="nil"/>
              <w:right w:val="nil"/>
              <w:insideV w:val="nil"/>
            </w:tcBorders>
            <w:shd w:fill="FFFFFF" w:val="clear"/>
          </w:tcPr>
          <w:p>
            <w:pPr>
              <w:pStyle w:val="Normal"/>
              <w:jc w:val="left"/>
              <w:rPr/>
            </w:pPr>
            <w:r>
              <w:rPr/>
              <w:t>Fraction of recruitment by method</w:t>
            </w:r>
          </w:p>
        </w:tc>
        <w:tc>
          <w:tcPr>
            <w:tcW w:w="1784" w:type="dxa"/>
            <w:tcBorders>
              <w:top w:val="nil"/>
              <w:left w:val="nil"/>
              <w:bottom w:val="nil"/>
              <w:insideH w:val="nil"/>
              <w:right w:val="nil"/>
              <w:insideV w:val="nil"/>
            </w:tcBorders>
            <w:shd w:fill="FFFFFF" w:val="clear"/>
          </w:tcPr>
          <w:p>
            <w:pPr>
              <w:pStyle w:val="Normal"/>
              <w:jc w:val="left"/>
              <w:rPr/>
            </w:pPr>
            <w:r>
              <w:rPr/>
              <w:t>varied in simulations</w:t>
            </w:r>
          </w:p>
        </w:tc>
        <w:tc>
          <w:tcPr>
            <w:tcW w:w="2915" w:type="dxa"/>
            <w:tcBorders>
              <w:top w:val="nil"/>
              <w:left w:val="nil"/>
              <w:bottom w:val="nil"/>
              <w:insideH w:val="nil"/>
              <w:right w:val="nil"/>
              <w:insideV w:val="nil"/>
            </w:tcBorders>
            <w:shd w:fill="FFFFFF" w:val="clear"/>
          </w:tcPr>
          <w:p>
            <w:pPr>
              <w:pStyle w:val="Normal"/>
              <w:jc w:val="left"/>
              <w:rPr/>
            </w:pPr>
            <w:r>
              <w:rPr/>
              <w:t xml:space="preserve">p_U, p_HR, p_FN, p_IN, p_OUT (see </w:t>
            </w:r>
            <w:r>
              <w:rPr>
                <w:i/>
                <w:iCs/>
              </w:rPr>
              <w:t>explanation of recruitment methods</w:t>
            </w:r>
            <w:r>
              <w:rPr/>
              <w:t xml:space="preserve">) </w:t>
            </w:r>
          </w:p>
        </w:tc>
      </w:tr>
      <w:tr>
        <w:trPr>
          <w:cantSplit w:val="false"/>
        </w:trPr>
        <w:tc>
          <w:tcPr>
            <w:tcW w:w="3865" w:type="dxa"/>
            <w:tcBorders>
              <w:top w:val="nil"/>
              <w:left w:val="nil"/>
              <w:bottom w:val="nil"/>
              <w:insideH w:val="nil"/>
              <w:right w:val="nil"/>
              <w:insideV w:val="nil"/>
            </w:tcBorders>
            <w:shd w:fill="FFFFFF" w:val="clear"/>
          </w:tcPr>
          <w:p>
            <w:pPr>
              <w:pStyle w:val="Normal"/>
              <w:jc w:val="left"/>
              <w:rPr/>
            </w:pPr>
            <w:r>
              <w:rPr/>
              <w:t>mean_days_residual_hcv_infectivity</w:t>
            </w:r>
          </w:p>
        </w:tc>
        <w:tc>
          <w:tcPr>
            <w:tcW w:w="1785" w:type="dxa"/>
            <w:tcBorders>
              <w:top w:val="nil"/>
              <w:left w:val="nil"/>
              <w:bottom w:val="nil"/>
              <w:insideH w:val="nil"/>
              <w:right w:val="nil"/>
              <w:insideV w:val="nil"/>
            </w:tcBorders>
            <w:shd w:fill="FFFFFF" w:val="clear"/>
          </w:tcPr>
          <w:p>
            <w:pPr>
              <w:pStyle w:val="Normal"/>
              <w:jc w:val="left"/>
              <w:rPr>
                <w:rStyle w:val="FootnoteAnchor"/>
              </w:rPr>
            </w:pPr>
            <w:r>
              <w:rPr/>
              <w:t xml:space="preserve">5 days </w:t>
            </w:r>
            <w:r>
              <w:rPr>
                <w:rStyle w:val="FootnoteAnchor"/>
              </w:rPr>
              <w:footnoteReference w:id="5"/>
            </w:r>
          </w:p>
        </w:tc>
        <w:tc>
          <w:tcPr>
            <w:tcW w:w="1784" w:type="dxa"/>
            <w:tcBorders>
              <w:top w:val="nil"/>
              <w:left w:val="nil"/>
              <w:bottom w:val="nil"/>
              <w:insideH w:val="nil"/>
              <w:right w:val="nil"/>
              <w:insideV w:val="nil"/>
            </w:tcBorders>
            <w:shd w:fill="FFFFFF" w:val="clear"/>
          </w:tcPr>
          <w:p>
            <w:pPr>
              <w:pStyle w:val="Normal"/>
              <w:jc w:val="left"/>
              <w:rPr/>
            </w:pPr>
            <w:r>
              <w:rPr/>
              <w:t>3-7</w:t>
            </w:r>
          </w:p>
        </w:tc>
        <w:tc>
          <w:tcPr>
            <w:tcW w:w="2915" w:type="dxa"/>
            <w:tcBorders>
              <w:top w:val="nil"/>
              <w:left w:val="nil"/>
              <w:bottom w:val="nil"/>
              <w:insideH w:val="nil"/>
              <w:right w:val="nil"/>
              <w:insideV w:val="nil"/>
            </w:tcBorders>
            <w:shd w:fill="FFFFFF" w:val="clear"/>
          </w:tcPr>
          <w:p>
            <w:pPr>
              <w:pStyle w:val="Normal"/>
              <w:jc w:val="left"/>
              <w:rPr/>
            </w:pPr>
            <w:r>
              <w:rPr/>
              <w:t>[3,30]</w:t>
            </w:r>
          </w:p>
        </w:tc>
      </w:tr>
      <w:tr>
        <w:trPr>
          <w:cantSplit w:val="false"/>
        </w:trPr>
        <w:tc>
          <w:tcPr>
            <w:tcW w:w="3865" w:type="dxa"/>
            <w:tcBorders>
              <w:top w:val="nil"/>
              <w:left w:val="nil"/>
              <w:bottom w:val="nil"/>
              <w:insideH w:val="nil"/>
              <w:right w:val="nil"/>
              <w:insideV w:val="nil"/>
            </w:tcBorders>
            <w:shd w:fill="FFFFFF" w:val="clear"/>
          </w:tcPr>
          <w:p>
            <w:pPr>
              <w:pStyle w:val="Normal"/>
              <w:jc w:val="left"/>
              <w:rPr/>
            </w:pPr>
            <w:r>
              <w:rPr/>
              <w:t>treated_susceptibility</w:t>
            </w:r>
          </w:p>
        </w:tc>
        <w:tc>
          <w:tcPr>
            <w:tcW w:w="1785" w:type="dxa"/>
            <w:tcBorders>
              <w:top w:val="nil"/>
              <w:left w:val="nil"/>
              <w:bottom w:val="nil"/>
              <w:insideH w:val="nil"/>
              <w:right w:val="nil"/>
              <w:insideV w:val="nil"/>
            </w:tcBorders>
            <w:shd w:fill="FFFFFF" w:val="clear"/>
          </w:tcPr>
          <w:p>
            <w:pPr>
              <w:pStyle w:val="Normal"/>
              <w:jc w:val="left"/>
              <w:rPr/>
            </w:pPr>
            <w:r>
              <w:rPr/>
              <w:t>100%</w:t>
            </w:r>
          </w:p>
        </w:tc>
        <w:tc>
          <w:tcPr>
            <w:tcW w:w="1784" w:type="dxa"/>
            <w:tcBorders>
              <w:top w:val="nil"/>
              <w:left w:val="nil"/>
              <w:bottom w:val="nil"/>
              <w:insideH w:val="nil"/>
              <w:right w:val="nil"/>
              <w:insideV w:val="nil"/>
            </w:tcBorders>
            <w:shd w:fill="FFFFFF" w:val="clear"/>
          </w:tcPr>
          <w:p>
            <w:pPr>
              <w:pStyle w:val="Normal"/>
              <w:jc w:val="left"/>
              <w:rPr/>
            </w:pPr>
            <w:r>
              <w:rPr/>
              <w:t>0.95-1.00</w:t>
            </w:r>
          </w:p>
        </w:tc>
        <w:tc>
          <w:tcPr>
            <w:tcW w:w="2915" w:type="dxa"/>
            <w:tcBorders>
              <w:top w:val="nil"/>
              <w:left w:val="nil"/>
              <w:bottom w:val="nil"/>
              <w:insideH w:val="nil"/>
              <w:right w:val="nil"/>
              <w:insideV w:val="nil"/>
            </w:tcBorders>
            <w:shd w:fill="FFFFFF" w:val="clear"/>
          </w:tcPr>
          <w:p>
            <w:pPr>
              <w:pStyle w:val="Normal"/>
              <w:jc w:val="left"/>
              <w:rPr/>
            </w:pPr>
            <w:r>
              <w:rPr/>
              <w:t>(REF)</w:t>
            </w:r>
          </w:p>
        </w:tc>
      </w:tr>
      <w:tr>
        <w:trPr>
          <w:cantSplit w:val="false"/>
        </w:trPr>
        <w:tc>
          <w:tcPr>
            <w:tcW w:w="3865" w:type="dxa"/>
            <w:tcBorders>
              <w:top w:val="nil"/>
              <w:left w:val="nil"/>
              <w:bottom w:val="nil"/>
              <w:insideH w:val="nil"/>
              <w:right w:val="nil"/>
              <w:insideV w:val="nil"/>
            </w:tcBorders>
            <w:shd w:fill="FFFFFF" w:val="clear"/>
          </w:tcPr>
          <w:p>
            <w:pPr>
              <w:pStyle w:val="Normal"/>
              <w:jc w:val="left"/>
              <w:rPr/>
            </w:pPr>
            <w:r>
              <w:rPr/>
              <w:t>treatment_duration</w:t>
            </w:r>
          </w:p>
        </w:tc>
        <w:tc>
          <w:tcPr>
            <w:tcW w:w="1785" w:type="dxa"/>
            <w:tcBorders>
              <w:top w:val="nil"/>
              <w:left w:val="nil"/>
              <w:bottom w:val="nil"/>
              <w:insideH w:val="nil"/>
              <w:right w:val="nil"/>
              <w:insideV w:val="nil"/>
            </w:tcBorders>
            <w:shd w:fill="FFFFFF" w:val="clear"/>
          </w:tcPr>
          <w:p>
            <w:pPr>
              <w:pStyle w:val="Normal"/>
              <w:jc w:val="left"/>
              <w:rPr/>
            </w:pPr>
            <w:r>
              <w:rPr/>
              <w:t>84 days (12 weeks)</w:t>
            </w:r>
          </w:p>
        </w:tc>
        <w:tc>
          <w:tcPr>
            <w:tcW w:w="1784" w:type="dxa"/>
            <w:tcBorders>
              <w:top w:val="nil"/>
              <w:left w:val="nil"/>
              <w:bottom w:val="nil"/>
              <w:insideH w:val="nil"/>
              <w:right w:val="nil"/>
              <w:insideV w:val="nil"/>
            </w:tcBorders>
            <w:shd w:fill="FFFFFF" w:val="clear"/>
          </w:tcPr>
          <w:p>
            <w:pPr>
              <w:pStyle w:val="Normal"/>
              <w:jc w:val="left"/>
              <w:rPr/>
            </w:pPr>
            <w:r>
              <w:rPr/>
            </w:r>
          </w:p>
        </w:tc>
        <w:tc>
          <w:tcPr>
            <w:tcW w:w="2915" w:type="dxa"/>
            <w:tcBorders>
              <w:top w:val="nil"/>
              <w:left w:val="nil"/>
              <w:bottom w:val="nil"/>
              <w:insideH w:val="nil"/>
              <w:right w:val="nil"/>
              <w:insideV w:val="nil"/>
            </w:tcBorders>
            <w:shd w:fill="FFFFFF" w:val="clear"/>
          </w:tcPr>
          <w:p>
            <w:pPr>
              <w:pStyle w:val="Normal"/>
              <w:jc w:val="left"/>
              <w:rPr/>
            </w:pPr>
            <w:r>
              <w:rPr/>
              <w:t>(REF)</w:t>
            </w:r>
          </w:p>
        </w:tc>
      </w:tr>
      <w:tr>
        <w:trPr>
          <w:cantSplit w:val="false"/>
        </w:trPr>
        <w:tc>
          <w:tcPr>
            <w:tcW w:w="3865" w:type="dxa"/>
            <w:tcBorders>
              <w:top w:val="nil"/>
              <w:left w:val="nil"/>
              <w:bottom w:val="nil"/>
              <w:insideH w:val="nil"/>
              <w:right w:val="nil"/>
              <w:insideV w:val="nil"/>
            </w:tcBorders>
            <w:shd w:fill="FFFFFF" w:val="clear"/>
          </w:tcPr>
          <w:p>
            <w:pPr>
              <w:pStyle w:val="Normal"/>
              <w:jc w:val="left"/>
              <w:rPr/>
            </w:pPr>
            <w:r>
              <w:rPr/>
              <w:t>treatment_non_adherence</w:t>
            </w:r>
          </w:p>
        </w:tc>
        <w:tc>
          <w:tcPr>
            <w:tcW w:w="1785" w:type="dxa"/>
            <w:tcBorders>
              <w:top w:val="nil"/>
              <w:left w:val="nil"/>
              <w:bottom w:val="nil"/>
              <w:insideH w:val="nil"/>
              <w:right w:val="nil"/>
              <w:insideV w:val="nil"/>
            </w:tcBorders>
            <w:shd w:fill="FFFFFF" w:val="clear"/>
          </w:tcPr>
          <w:p>
            <w:pPr>
              <w:pStyle w:val="Normal"/>
              <w:jc w:val="left"/>
              <w:rPr/>
            </w:pPr>
            <w:r>
              <w:rPr/>
              <w:t>10%</w:t>
            </w:r>
          </w:p>
        </w:tc>
        <w:tc>
          <w:tcPr>
            <w:tcW w:w="1784" w:type="dxa"/>
            <w:tcBorders>
              <w:top w:val="nil"/>
              <w:left w:val="nil"/>
              <w:bottom w:val="nil"/>
              <w:insideH w:val="nil"/>
              <w:right w:val="nil"/>
              <w:insideV w:val="nil"/>
            </w:tcBorders>
            <w:shd w:fill="FFFFFF" w:val="clear"/>
          </w:tcPr>
          <w:p>
            <w:pPr>
              <w:pStyle w:val="Normal"/>
              <w:jc w:val="left"/>
              <w:rPr/>
            </w:pPr>
            <w:r>
              <w:rPr/>
              <w:t>0.05-0.15</w:t>
            </w:r>
          </w:p>
        </w:tc>
        <w:tc>
          <w:tcPr>
            <w:tcW w:w="2915" w:type="dxa"/>
            <w:tcBorders>
              <w:top w:val="nil"/>
              <w:left w:val="nil"/>
              <w:bottom w:val="nil"/>
              <w:insideH w:val="nil"/>
              <w:right w:val="nil"/>
              <w:insideV w:val="nil"/>
            </w:tcBorders>
            <w:shd w:fill="FFFFFF" w:val="clear"/>
          </w:tcPr>
          <w:p>
            <w:pPr>
              <w:pStyle w:val="Normal"/>
              <w:jc w:val="left"/>
              <w:rPr/>
            </w:pPr>
            <w:r>
              <w:rPr/>
              <w:t>Citation needed</w:t>
            </w:r>
          </w:p>
        </w:tc>
      </w:tr>
      <w:tr>
        <w:trPr>
          <w:cantSplit w:val="false"/>
        </w:trPr>
        <w:tc>
          <w:tcPr>
            <w:tcW w:w="3865" w:type="dxa"/>
            <w:tcBorders>
              <w:top w:val="nil"/>
              <w:left w:val="nil"/>
              <w:bottom w:val="nil"/>
              <w:insideH w:val="nil"/>
              <w:right w:val="nil"/>
              <w:insideV w:val="nil"/>
            </w:tcBorders>
            <w:shd w:fill="FFFFFF" w:val="clear"/>
          </w:tcPr>
          <w:p>
            <w:pPr>
              <w:pStyle w:val="Normal"/>
              <w:jc w:val="left"/>
              <w:rPr/>
            </w:pPr>
            <w:r>
              <w:rPr/>
              <w:t>treatment_repeatable</w:t>
            </w:r>
          </w:p>
        </w:tc>
        <w:tc>
          <w:tcPr>
            <w:tcW w:w="1785" w:type="dxa"/>
            <w:tcBorders>
              <w:top w:val="nil"/>
              <w:left w:val="nil"/>
              <w:bottom w:val="nil"/>
              <w:insideH w:val="nil"/>
              <w:right w:val="nil"/>
              <w:insideV w:val="nil"/>
            </w:tcBorders>
            <w:shd w:fill="FFFFFF" w:val="clear"/>
          </w:tcPr>
          <w:p>
            <w:pPr>
              <w:pStyle w:val="Normal"/>
              <w:jc w:val="left"/>
              <w:rPr/>
            </w:pPr>
            <w:r>
              <w:rPr/>
              <w:t>False</w:t>
            </w:r>
          </w:p>
        </w:tc>
        <w:tc>
          <w:tcPr>
            <w:tcW w:w="1784" w:type="dxa"/>
            <w:tcBorders>
              <w:top w:val="nil"/>
              <w:left w:val="nil"/>
              <w:bottom w:val="nil"/>
              <w:insideH w:val="nil"/>
              <w:right w:val="nil"/>
              <w:insideV w:val="nil"/>
            </w:tcBorders>
            <w:shd w:fill="FFFFFF" w:val="clear"/>
          </w:tcPr>
          <w:p>
            <w:pPr>
              <w:pStyle w:val="Normal"/>
              <w:jc w:val="left"/>
              <w:rPr/>
            </w:pPr>
            <w:r>
              <w:rPr/>
            </w:r>
          </w:p>
        </w:tc>
        <w:tc>
          <w:tcPr>
            <w:tcW w:w="2915" w:type="dxa"/>
            <w:tcBorders>
              <w:top w:val="nil"/>
              <w:left w:val="nil"/>
              <w:bottom w:val="nil"/>
              <w:insideH w:val="nil"/>
              <w:right w:val="nil"/>
              <w:insideV w:val="nil"/>
            </w:tcBorders>
            <w:shd w:fill="FFFFFF" w:val="clear"/>
          </w:tcPr>
          <w:p>
            <w:pPr>
              <w:pStyle w:val="Normal"/>
              <w:jc w:val="left"/>
              <w:rPr/>
            </w:pPr>
            <w:r>
              <w:rPr/>
              <w:t>Due to cost, treatment is available only once (REF)</w:t>
            </w:r>
          </w:p>
        </w:tc>
      </w:tr>
      <w:tr>
        <w:trPr>
          <w:cantSplit w:val="false"/>
        </w:trPr>
        <w:tc>
          <w:tcPr>
            <w:tcW w:w="3865" w:type="dxa"/>
            <w:tcBorders>
              <w:top w:val="nil"/>
              <w:left w:val="nil"/>
              <w:bottom w:val="nil"/>
              <w:insideH w:val="nil"/>
              <w:right w:val="nil"/>
              <w:insideV w:val="nil"/>
            </w:tcBorders>
            <w:shd w:fill="FFFFFF" w:val="clear"/>
          </w:tcPr>
          <w:p>
            <w:pPr>
              <w:pStyle w:val="Normal"/>
              <w:jc w:val="left"/>
              <w:rPr/>
            </w:pPr>
            <w:r>
              <w:rPr/>
              <w:t>treatment_svr</w:t>
            </w:r>
          </w:p>
        </w:tc>
        <w:tc>
          <w:tcPr>
            <w:tcW w:w="1785" w:type="dxa"/>
            <w:tcBorders>
              <w:top w:val="nil"/>
              <w:left w:val="nil"/>
              <w:bottom w:val="nil"/>
              <w:insideH w:val="nil"/>
              <w:right w:val="nil"/>
              <w:insideV w:val="nil"/>
            </w:tcBorders>
            <w:shd w:fill="FFFFFF" w:val="clear"/>
          </w:tcPr>
          <w:p>
            <w:pPr>
              <w:pStyle w:val="Normal"/>
              <w:jc w:val="left"/>
              <w:rPr/>
            </w:pPr>
            <w:r>
              <w:rPr/>
              <w:t>90%</w:t>
            </w:r>
          </w:p>
        </w:tc>
        <w:tc>
          <w:tcPr>
            <w:tcW w:w="1784" w:type="dxa"/>
            <w:tcBorders>
              <w:top w:val="nil"/>
              <w:left w:val="nil"/>
              <w:bottom w:val="nil"/>
              <w:insideH w:val="nil"/>
              <w:right w:val="nil"/>
              <w:insideV w:val="nil"/>
            </w:tcBorders>
            <w:shd w:fill="FFFFFF" w:val="clear"/>
          </w:tcPr>
          <w:p>
            <w:pPr>
              <w:pStyle w:val="Normal"/>
              <w:jc w:val="left"/>
              <w:rPr/>
            </w:pPr>
            <w:r>
              <w:rPr/>
              <w:t>0.8-1.0</w:t>
            </w:r>
          </w:p>
        </w:tc>
        <w:tc>
          <w:tcPr>
            <w:tcW w:w="2915" w:type="dxa"/>
            <w:tcBorders>
              <w:top w:val="nil"/>
              <w:left w:val="nil"/>
              <w:bottom w:val="nil"/>
              <w:insideH w:val="nil"/>
              <w:right w:val="nil"/>
              <w:insideV w:val="nil"/>
            </w:tcBorders>
            <w:shd w:fill="FFFFFF" w:val="clear"/>
          </w:tcPr>
          <w:p>
            <w:pPr>
              <w:pStyle w:val="Normal"/>
              <w:jc w:val="left"/>
              <w:rPr/>
            </w:pPr>
            <w:r>
              <w:rPr/>
              <w:t>(REF)</w:t>
            </w:r>
          </w:p>
        </w:tc>
      </w:tr>
    </w:tbl>
    <w:p>
      <w:pPr>
        <w:pStyle w:val="Normal"/>
        <w:tabs>
          <w:tab w:val="left" w:pos="0" w:leader="none"/>
          <w:tab w:val="left" w:pos="720" w:leader="none"/>
        </w:tabs>
        <w:textAlignment w:val="center"/>
        <w:rPr/>
      </w:pPr>
      <w:r>
        <w:rPr/>
      </w:r>
    </w:p>
    <w:p>
      <w:pPr>
        <w:pStyle w:val="Normal"/>
        <w:textAlignment w:val="center"/>
        <w:rPr>
          <w:rFonts w:cs="Calibri" w:ascii="Calibri" w:hAnsi="Calibri"/>
        </w:rPr>
      </w:pPr>
      <w:r>
        <w:rPr>
          <w:rFonts w:cs="Calibri" w:ascii="Calibri" w:hAnsi="Calibri"/>
        </w:rPr>
        <w:t xml:space="preserve">The APK-AV software simulates enrollment of PWID into anti-HCV antiviral treatment.  All enrollments will be at a rate of </w:t>
      </w:r>
      <w:r>
        <w:rPr>
          <w:rFonts w:cs="Calibri" w:ascii="Calibri" w:hAnsi="Calibri"/>
          <w:b/>
        </w:rPr>
        <w:t>enrollment_rate</w:t>
      </w:r>
      <w:r>
        <w:rPr>
          <w:rFonts w:cs="Calibri" w:ascii="Calibri" w:hAnsi="Calibri"/>
        </w:rPr>
        <w:t xml:space="preserve"> per 1000 per year.</w:t>
      </w:r>
      <w:r>
        <w:rPr>
          <w:rStyle w:val="FootnoteAnchor"/>
          <w:rFonts w:cs="Calibri" w:ascii="Calibri" w:hAnsi="Calibri"/>
        </w:rPr>
        <w:footnoteReference w:id="6"/>
      </w:r>
      <w:r>
        <w:rPr>
          <w:rFonts w:cs="Calibri" w:ascii="Calibri" w:hAnsi="Calibri"/>
        </w:rPr>
        <w:t xml:space="preserve">  Multiple enrollment methods are supported, and they are expected to lead to different outcomes in the long term.</w:t>
      </w:r>
    </w:p>
    <w:p>
      <w:pPr>
        <w:pStyle w:val="Normal"/>
        <w:textAlignment w:val="center"/>
        <w:rPr/>
      </w:pPr>
      <w:r>
        <w:rPr/>
      </w:r>
    </w:p>
    <w:p>
      <w:pPr>
        <w:pStyle w:val="Normal"/>
        <w:textAlignment w:val="center"/>
        <w:rPr>
          <w:rFonts w:cs="Calibri" w:ascii="Calibri" w:hAnsi="Calibri"/>
        </w:rPr>
      </w:pPr>
      <w:r>
        <w:rPr>
          <w:rFonts w:cs="Calibri" w:ascii="Calibri" w:hAnsi="Calibri"/>
        </w:rPr>
        <w:t>APK will first identify all eligible individuals, and secondly they will enter treatment at a daily rate corresponding to the annual enrollment_rate.</w:t>
      </w:r>
    </w:p>
    <w:p>
      <w:pPr>
        <w:pStyle w:val="Normal"/>
        <w:tabs>
          <w:tab w:val="left" w:pos="0" w:leader="none"/>
          <w:tab w:val="left" w:pos="720" w:leader="none"/>
        </w:tabs>
        <w:textAlignment w:val="center"/>
        <w:rPr/>
      </w:pPr>
      <w:r>
        <w:rPr/>
        <w:t>Enrollment is assumed to begin January 1, 2016.</w:t>
      </w:r>
    </w:p>
    <w:p>
      <w:pPr>
        <w:pStyle w:val="Normal"/>
        <w:tabs>
          <w:tab w:val="left" w:pos="0" w:leader="none"/>
          <w:tab w:val="left" w:pos="720" w:leader="none"/>
        </w:tabs>
        <w:textAlignment w:val="center"/>
        <w:rPr/>
      </w:pPr>
      <w:r>
        <w:rPr/>
      </w:r>
    </w:p>
    <w:p>
      <w:pPr>
        <w:pStyle w:val="Normal"/>
        <w:tabs>
          <w:tab w:val="left" w:pos="0" w:leader="none"/>
          <w:tab w:val="left" w:pos="720" w:leader="none"/>
        </w:tabs>
        <w:textAlignment w:val="center"/>
        <w:rPr>
          <w:i/>
          <w:iCs/>
        </w:rPr>
      </w:pPr>
      <w:r>
        <w:rPr>
          <w:i/>
          <w:iCs/>
        </w:rPr>
        <w:t>Explanation of recruitment methods</w:t>
      </w:r>
    </w:p>
    <w:p>
      <w:pPr>
        <w:pStyle w:val="Normal"/>
        <w:numPr>
          <w:ilvl w:val="0"/>
          <w:numId w:val="2"/>
        </w:numPr>
        <w:textAlignment w:val="center"/>
        <w:rPr/>
      </w:pPr>
      <w:r>
        <w:rPr/>
        <w:t xml:space="preserve">Unbiased: selects HCV+ individuals at random.  </w:t>
      </w:r>
    </w:p>
    <w:p>
      <w:pPr>
        <w:pStyle w:val="Normal"/>
        <w:numPr>
          <w:ilvl w:val="0"/>
          <w:numId w:val="2"/>
        </w:numPr>
        <w:textAlignment w:val="center"/>
        <w:rPr/>
      </w:pPr>
      <w:r>
        <w:rPr/>
        <w:t>HRP: random selection, but only for those who already registered in one of the harm reduction programs (HRPs).</w:t>
      </w:r>
    </w:p>
    <w:p>
      <w:pPr>
        <w:pStyle w:val="Normal"/>
        <w:numPr>
          <w:ilvl w:val="0"/>
          <w:numId w:val="2"/>
        </w:numPr>
        <w:textAlignment w:val="center"/>
        <w:rPr>
          <w:rStyle w:val="FootnoteAnchor"/>
        </w:rPr>
      </w:pPr>
      <w:r>
        <w:rPr/>
        <w:t>Fullnetwork: selects a random HCV+ PWID individual and recruits all members of their network who are also HCV+.  This provides treats the entire network, and is similar to Hellard et al.</w:t>
      </w:r>
      <w:r>
        <w:rPr>
          <w:rStyle w:val="FootnoteAnchor"/>
        </w:rPr>
        <w:footnoteReference w:id="7"/>
      </w:r>
      <w:r>
        <w:rPr/>
        <w:t xml:space="preserve"> .</w:t>
      </w:r>
      <w:r>
        <w:rPr>
          <w:rStyle w:val="FootnoteAnchor"/>
        </w:rPr>
        <w:t xml:space="preserve"> </w:t>
      </w:r>
    </w:p>
    <w:p>
      <w:pPr>
        <w:pStyle w:val="Normal"/>
        <w:numPr>
          <w:ilvl w:val="0"/>
          <w:numId w:val="2"/>
        </w:numPr>
        <w:textAlignment w:val="center"/>
        <w:rPr/>
      </w:pPr>
      <w:r>
        <w:rPr/>
        <w:t>Inpartner: a practical methods based on an insight on network theory to find individuals who endanger others.  A random PWID is selected (“ego”).  If the ego is HCV+, then the ego is treated. Ego is asked to name all persons who give syringes to ego (“alters”). These alters are tested for HCV, and a single HCV+ alter, if any exists, is enrolled.</w:t>
      </w:r>
    </w:p>
    <w:p>
      <w:pPr>
        <w:pStyle w:val="Normal"/>
        <w:numPr>
          <w:ilvl w:val="0"/>
          <w:numId w:val="2"/>
        </w:numPr>
        <w:textAlignment w:val="center"/>
        <w:rPr/>
      </w:pPr>
      <w:r>
        <w:rPr/>
        <w:t xml:space="preserve">Outpartner: similar to “inpartner” but the alter is any person </w:t>
      </w:r>
      <w:r>
        <w:rPr>
          <w:i/>
          <w:iCs/>
        </w:rPr>
        <w:t>receiving</w:t>
      </w:r>
      <w:r>
        <w:rPr/>
        <w:t xml:space="preserve"> (rather than giving) syringes from the selected ego.  This finds individuals who are at high risk from ego.</w:t>
      </w:r>
    </w:p>
    <w:p>
      <w:pPr>
        <w:pStyle w:val="Normal"/>
        <w:numPr>
          <w:ilvl w:val="0"/>
          <w:numId w:val="2"/>
        </w:numPr>
        <w:textAlignment w:val="center"/>
        <w:rPr>
          <w:rFonts w:cs="Calibri" w:ascii="Calibri" w:hAnsi="Calibri"/>
        </w:rPr>
      </w:pPr>
      <w:r>
        <w:rPr>
          <w:rFonts w:cs="Calibri" w:ascii="Calibri" w:hAnsi="Calibri"/>
        </w:rPr>
        <w:t xml:space="preserve">[optional extension – not completed] Only individuals who are in F4 stage of fibrosis or beyond, based on recent guidelines from insurance companies and CMS (TODO: references) </w:t>
      </w:r>
    </w:p>
    <w:p>
      <w:pPr>
        <w:pStyle w:val="Normal"/>
        <w:textAlignment w:val="center"/>
        <w:rPr/>
      </w:pPr>
      <w:r>
        <w:rPr/>
      </w:r>
    </w:p>
    <w:p>
      <w:pPr>
        <w:pStyle w:val="Normal"/>
        <w:textAlignment w:val="center"/>
        <w:rPr/>
      </w:pPr>
      <w:r>
        <w:rPr/>
        <w:t>We will examine the effectiveness of these strategies individually, and also combinations of the strategies.</w:t>
      </w:r>
    </w:p>
    <w:p>
      <w:pPr>
        <w:pStyle w:val="Normal"/>
        <w:textAlignment w:val="center"/>
        <w:rPr/>
      </w:pPr>
      <w:r>
        <w:rPr/>
      </w:r>
    </w:p>
    <w:p>
      <w:pPr>
        <w:pStyle w:val="Normal"/>
        <w:textAlignment w:val="center"/>
        <w:rPr>
          <w:rFonts w:cs="Calibri" w:ascii="Calibri" w:hAnsi="Calibri"/>
          <w:b/>
        </w:rPr>
      </w:pPr>
      <w:r>
        <w:rPr>
          <w:rFonts w:cs="Calibri" w:ascii="Calibri" w:hAnsi="Calibri"/>
          <w:b/>
        </w:rPr>
        <w:t>Treatment structure</w:t>
      </w:r>
    </w:p>
    <w:p>
      <w:pPr>
        <w:pStyle w:val="Normal"/>
        <w:textAlignment w:val="center"/>
        <w:rPr>
          <w:rFonts w:cs="Calibri" w:ascii="Calibri" w:hAnsi="Calibri"/>
        </w:rPr>
      </w:pPr>
      <w:r>
        <w:rPr>
          <w:rFonts w:cs="Calibri" w:ascii="Calibri" w:hAnsi="Calibri"/>
        </w:rPr>
        <w:t xml:space="preserve">The duration of treatment will be 12 weeks by default, based on recent all-oral AV (parameter </w:t>
      </w:r>
      <w:r>
        <w:rPr>
          <w:rFonts w:cs="Calibri" w:ascii="Calibri" w:hAnsi="Calibri"/>
          <w:b/>
        </w:rPr>
        <w:t>treatment_duration</w:t>
      </w:r>
      <w:r>
        <w:rPr>
          <w:rFonts w:cs="Calibri" w:ascii="Calibri" w:hAnsi="Calibri"/>
        </w:rPr>
        <w:t xml:space="preserve">).  </w:t>
      </w:r>
    </w:p>
    <w:p>
      <w:pPr>
        <w:pStyle w:val="Normal"/>
        <w:textAlignment w:val="center"/>
        <w:rPr>
          <w:rFonts w:cs="Calibri" w:ascii="Calibri" w:hAnsi="Calibri"/>
        </w:rPr>
      </w:pPr>
      <w:r>
        <w:rPr>
          <w:rFonts w:cs="Calibri" w:ascii="Calibri" w:hAnsi="Calibri"/>
        </w:rPr>
        <w:t>Treated individuals will be assigned into one of three groups.</w:t>
      </w:r>
    </w:p>
    <w:p>
      <w:pPr>
        <w:pStyle w:val="ListParagraph"/>
        <w:numPr>
          <w:ilvl w:val="0"/>
          <w:numId w:val="1"/>
        </w:numPr>
        <w:textAlignment w:val="center"/>
        <w:rPr>
          <w:rFonts w:cs="Calibri" w:ascii="Calibri" w:hAnsi="Calibri"/>
        </w:rPr>
      </w:pPr>
      <w:r>
        <w:rPr>
          <w:rFonts w:cs="Calibri" w:ascii="Calibri" w:hAnsi="Calibri"/>
        </w:rPr>
        <w:t xml:space="preserve">SVR group (proportion given by parameter </w:t>
      </w:r>
      <w:r>
        <w:rPr>
          <w:rFonts w:cs="Calibri" w:ascii="Calibri" w:hAnsi="Calibri"/>
          <w:b/>
        </w:rPr>
        <w:t>treatment_svr</w:t>
      </w:r>
      <w:r>
        <w:rPr>
          <w:rFonts w:cs="Calibri" w:ascii="Calibri" w:hAnsi="Calibri"/>
        </w:rPr>
        <w:t>) who will see rapid drop in viral titers followed by viral clearance.</w:t>
      </w:r>
    </w:p>
    <w:p>
      <w:pPr>
        <w:pStyle w:val="ListParagraph"/>
        <w:numPr>
          <w:ilvl w:val="0"/>
          <w:numId w:val="1"/>
        </w:numPr>
        <w:textAlignment w:val="center"/>
        <w:rPr>
          <w:rFonts w:cs="Calibri" w:ascii="Calibri" w:hAnsi="Calibri"/>
        </w:rPr>
      </w:pPr>
      <w:r>
        <w:rPr>
          <w:rFonts w:cs="Calibri" w:ascii="Calibri" w:hAnsi="Calibri"/>
        </w:rPr>
        <w:t>Non-SVR. The individual adhers to the treatment but does not achieve SVR.  Viral load rebounds after the end of treatment and they become infectious.</w:t>
      </w:r>
    </w:p>
    <w:p>
      <w:pPr>
        <w:pStyle w:val="ListParagraph"/>
        <w:numPr>
          <w:ilvl w:val="0"/>
          <w:numId w:val="1"/>
        </w:numPr>
        <w:textAlignment w:val="center"/>
        <w:rPr>
          <w:rFonts w:cs="Calibri" w:ascii="Calibri" w:hAnsi="Calibri"/>
        </w:rPr>
      </w:pPr>
      <w:r>
        <w:rPr>
          <w:rFonts w:cs="Calibri" w:ascii="Calibri" w:hAnsi="Calibri"/>
        </w:rPr>
        <w:t>Non-adherent.</w:t>
      </w:r>
    </w:p>
    <w:p>
      <w:pPr>
        <w:pStyle w:val="ListParagraph"/>
        <w:ind w:left="0" w:right="0" w:hanging="0"/>
        <w:textAlignment w:val="center"/>
        <w:rPr/>
      </w:pPr>
      <w:r>
        <w:rPr/>
      </w:r>
    </w:p>
    <w:p>
      <w:pPr>
        <w:pStyle w:val="ListParagraph"/>
        <w:ind w:left="0" w:right="0" w:hanging="0"/>
        <w:textAlignment w:val="center"/>
        <w:rPr>
          <w:rFonts w:cs="Calibri" w:ascii="Calibri" w:hAnsi="Calibri"/>
        </w:rPr>
      </w:pPr>
      <w:r>
        <w:rPr>
          <w:rFonts w:cs="Calibri" w:ascii="Calibri" w:hAnsi="Calibri"/>
        </w:rPr>
        <w:t>Because of lower adherence, treatment_svr parameter will be lower than for the general population.  Therefore, we will subdivide both group 1 and group 2 into adherent and non-adherent.  If non-adherent, a PWID will suppress viral titers below infectious levels during the treatment period but would ultimately develop chronic HCV infection.</w:t>
      </w:r>
    </w:p>
    <w:p>
      <w:pPr>
        <w:pStyle w:val="Normal"/>
        <w:textAlignment w:val="center"/>
        <w:rPr/>
      </w:pPr>
      <w:r>
        <w:rPr/>
      </w:r>
    </w:p>
    <w:p>
      <w:pPr>
        <w:pStyle w:val="Normal"/>
        <w:rPr/>
      </w:pPr>
      <w:r>
        <w:rPr/>
        <w:t xml:space="preserve">During treatment, individuals will remain infectious for a </w:t>
      </w:r>
      <w:r>
        <w:rPr>
          <w:b/>
          <w:bCs/>
        </w:rPr>
        <w:t>mean_days_residual_hcv_infectivity</w:t>
      </w:r>
      <w:r>
        <w:rPr>
          <w:b w:val="false"/>
          <w:bCs w:val="false"/>
        </w:rPr>
        <w:t>.</w:t>
      </w:r>
      <w:r>
        <w:rPr/>
        <w:t xml:space="preserve">  Breakout infections will be infrequent and assumed not lead to new infections.  Individuals in treatment may become exposed to new infections but, because of the antivirals in their bloodstream, the infection has a negligeably low probability of being established.</w:t>
      </w:r>
    </w:p>
    <w:p>
      <w:pPr>
        <w:pStyle w:val="Normal"/>
        <w:rPr/>
      </w:pPr>
      <w:r>
        <w:rPr/>
      </w:r>
    </w:p>
    <w:p>
      <w:pPr>
        <w:pStyle w:val="Normal"/>
        <w:textAlignment w:val="center"/>
        <w:rPr>
          <w:rFonts w:cs="Calibri" w:ascii="Calibri" w:hAnsi="Calibri"/>
        </w:rPr>
      </w:pPr>
      <w:r>
        <w:rPr>
          <w:rFonts w:cs="Calibri" w:ascii="Calibri" w:hAnsi="Calibri"/>
        </w:rPr>
        <w:t xml:space="preserve">Individuals who obtain SVR will be assigned into a cured state, a new state as compared to the original APK software.  In subsequent HCV exposures, the software would allow them to become re-infected and possibly progress to HCV.  Cured individuals remain at risk for HCV if re-exposed but the risk is not well-established in the literature.  We will explore this using sensitivity analysis by using the parameter </w:t>
      </w:r>
      <w:r>
        <w:rPr>
          <w:rFonts w:cs="Calibri" w:ascii="Calibri" w:hAnsi="Calibri"/>
          <w:b/>
          <w:bCs/>
        </w:rPr>
        <w:t>treated_susceptibility.</w:t>
      </w:r>
      <w:r>
        <w:rPr>
          <w:rFonts w:cs="Calibri" w:ascii="Calibri" w:hAnsi="Calibri"/>
          <w:b w:val="false"/>
          <w:bCs w:val="false"/>
        </w:rPr>
        <w:t xml:space="preserve"> This parameter is the relative probability of clearing a secondary infection, as compared to naïve individuals.  By default, it is set to 1.0, i.e. the susceptibility among cured is equal to susceptibility of naïve PWID.</w:t>
      </w:r>
      <w:r>
        <w:rPr>
          <w:rFonts w:cs="Calibri" w:ascii="Calibri" w:hAnsi="Calibri"/>
        </w:rPr>
        <w:t xml:space="preserve"> </w:t>
      </w:r>
    </w:p>
    <w:p>
      <w:pPr>
        <w:pStyle w:val="Normal"/>
        <w:textAlignment w:val="center"/>
        <w:rPr/>
      </w:pPr>
      <w:r>
        <w:rPr/>
      </w:r>
    </w:p>
    <w:p>
      <w:pPr>
        <w:pStyle w:val="Normal"/>
        <w:textAlignment w:val="center"/>
        <w:rPr>
          <w:rFonts w:cs="Calibri" w:ascii="Calibri" w:hAnsi="Calibri"/>
        </w:rPr>
      </w:pPr>
      <w:r>
        <w:rPr>
          <w:rFonts w:cs="Calibri" w:ascii="Calibri" w:hAnsi="Calibri"/>
        </w:rPr>
        <w:t>An individual who previously cleared an infection spontaneously is generally more likely to recover sponteneously in the future.  In APK, this history is taken into account and the individual remains more resistant to reinfections in the future, even after possibly receiving AV treatment. Thus AV treatment does not diminish adapted antibodies.</w:t>
      </w:r>
    </w:p>
    <w:p>
      <w:pPr>
        <w:pStyle w:val="Normal"/>
        <w:textAlignment w:val="center"/>
        <w:rPr/>
      </w:pPr>
      <w:r>
        <w:rPr/>
      </w:r>
    </w:p>
    <w:p>
      <w:pPr>
        <w:pStyle w:val="Normal"/>
        <w:textAlignment w:val="center"/>
        <w:rPr>
          <w:rStyle w:val="FootnoteAnchor"/>
          <w:rFonts w:cs="Calibri" w:ascii="Calibri" w:hAnsi="Calibri"/>
        </w:rPr>
      </w:pPr>
      <w:r>
        <w:rPr>
          <w:rFonts w:cs="Calibri" w:ascii="Calibri" w:hAnsi="Calibri"/>
        </w:rPr>
        <w:t xml:space="preserve">Because of cost considerations, individuals in the US are not generally allowed to repeat AV treatment if they fail the first attempt. </w:t>
      </w:r>
      <w:r>
        <w:rPr>
          <w:rStyle w:val="FootnoteAnchor"/>
          <w:rFonts w:cs="Calibri" w:ascii="Calibri" w:hAnsi="Calibri"/>
        </w:rPr>
        <w:footnoteReference w:id="8"/>
      </w:r>
    </w:p>
    <w:p>
      <w:pPr>
        <w:pStyle w:val="Normal"/>
        <w:textAlignment w:val="center"/>
        <w:rPr>
          <w:rFonts w:cs="Calibri" w:ascii="Calibri" w:hAnsi="Calibri"/>
        </w:rPr>
      </w:pPr>
      <w:r>
        <w:rPr>
          <w:rFonts w:cs="Calibri" w:ascii="Calibri" w:hAnsi="Calibri"/>
        </w:rPr>
        <w:t xml:space="preserve">(parameter </w:t>
      </w:r>
      <w:r>
        <w:rPr>
          <w:rFonts w:cs="Calibri" w:ascii="Calibri" w:hAnsi="Calibri"/>
          <w:b/>
          <w:bCs/>
        </w:rPr>
        <w:t>treatment_repeatable</w:t>
      </w:r>
      <w:r>
        <w:rPr>
          <w:rFonts w:cs="Calibri" w:ascii="Calibri" w:hAnsi="Calibri"/>
        </w:rPr>
        <w:t>).</w:t>
      </w:r>
    </w:p>
    <w:p>
      <w:pPr>
        <w:pStyle w:val="Normal"/>
        <w:textAlignment w:val="center"/>
        <w:rPr/>
      </w:pPr>
      <w:r>
        <w:rPr/>
      </w:r>
    </w:p>
    <w:p>
      <w:pPr>
        <w:pStyle w:val="Normal"/>
        <w:textAlignment w:val="center"/>
        <w:rPr/>
      </w:pPr>
      <w:r>
        <w:rPr/>
      </w:r>
    </w:p>
    <w:p>
      <w:pPr>
        <w:pStyle w:val="Normal"/>
        <w:textAlignment w:val="center"/>
        <w:rPr>
          <w:b/>
          <w:bCs/>
        </w:rPr>
      </w:pPr>
      <w:r>
        <w:rPr>
          <w:b/>
          <w:bCs/>
        </w:rPr>
        <w:t>Statistical analysis</w:t>
      </w:r>
    </w:p>
    <w:p>
      <w:pPr>
        <w:pStyle w:val="Normal"/>
        <w:textAlignment w:val="center"/>
        <w:rPr/>
      </w:pPr>
      <w:r>
        <w:rPr/>
      </w:r>
    </w:p>
    <w:p>
      <w:pPr>
        <w:pStyle w:val="Normal"/>
        <w:textAlignment w:val="center"/>
        <w:rPr/>
      </w:pPr>
      <w:r>
        <w:rPr/>
      </w:r>
    </w:p>
    <w:p>
      <w:pPr>
        <w:pStyle w:val="Normal"/>
        <w:textAlignment w:val="center"/>
        <w:rPr/>
      </w:pPr>
      <w:r>
        <w:rPr/>
      </w:r>
    </w:p>
    <w:p>
      <w:pPr>
        <w:pStyle w:val="Heading2"/>
        <w:rPr>
          <w:b/>
          <w:bCs/>
        </w:rPr>
      </w:pPr>
      <w:r>
        <w:rPr>
          <w:b/>
          <w:bCs/>
        </w:rPr>
        <w:t>Results</w:t>
      </w:r>
    </w:p>
    <w:p>
      <w:pPr>
        <w:pStyle w:val="Normal"/>
        <w:textAlignment w:val="center"/>
        <w:rPr/>
      </w:pPr>
      <w:r>
        <w:rPr/>
      </w:r>
    </w:p>
    <w:p>
      <w:pPr>
        <w:pStyle w:val="Normal"/>
        <w:textAlignment w:val="center"/>
        <w:rPr>
          <w:b w:val="false"/>
          <w:bCs w:val="false"/>
        </w:rPr>
      </w:pPr>
      <w:r>
        <w:rPr>
          <w:b w:val="false"/>
          <w:bCs w:val="false"/>
        </w:rPr>
        <w:t>We compared the reduction in HCV prevalence following different recruitment strategies at a constant treatment rate...</w:t>
      </w:r>
    </w:p>
    <w:p>
      <w:pPr>
        <w:pStyle w:val="Normal"/>
        <w:textAlignment w:val="center"/>
        <w:rPr/>
      </w:pPr>
      <w:r>
        <w:rPr/>
      </w:r>
    </w:p>
    <w:p>
      <w:pPr>
        <w:pStyle w:val="Normal"/>
        <w:textAlignment w:val="center"/>
        <w:rPr>
          <w:i/>
          <w:iCs/>
          <w:shd w:fill="FFFF00" w:val="clear"/>
        </w:rPr>
      </w:pPr>
      <w:r>
        <w:rPr>
          <w:i/>
          <w:iCs/>
          <w:shd w:fill="FFFF00" w:val="clear"/>
        </w:rPr>
        <w:t>Figure R1: Reduction in overall HCV prevalence among PWID, based on recruitment methods.  Assuming only one method is used. B=baseline at start of recruitment (2015), X=no recruitment, U=Unbiased random recruitment, HRP=Harm reduction programs, FN=Full network, IN=in network, OUT=out network.</w:t>
      </w:r>
    </w:p>
    <w:p>
      <w:pPr>
        <w:pStyle w:val="Normal"/>
        <w:textAlignment w:val="center"/>
        <w:rPr>
          <w:shd w:fill="FFFF00" w:val="clear"/>
        </w:rPr>
      </w:pPr>
      <w:r>
        <w:rPr>
          <w:shd w:fill="FFFF00" w:val="clear"/>
        </w:rPr>
      </w:r>
    </w:p>
    <w:p>
      <w:pPr>
        <w:pStyle w:val="Normal"/>
        <w:textAlignment w:val="center"/>
        <w:rPr/>
      </w:pPr>
      <w:r>
        <w:rPr/>
      </w:r>
    </w:p>
    <w:p>
      <w:pPr>
        <w:pStyle w:val="Normal"/>
        <w:textAlignment w:val="center"/>
        <w:rPr/>
      </w:pPr>
      <w:r>
        <w:rPr/>
        <w:t>Which scale-up rate (n per 1000 PWID) is necessary to reduce by 50% the prevalence in 10 years?</w:t>
      </w:r>
    </w:p>
    <w:p>
      <w:pPr>
        <w:pStyle w:val="Normal"/>
        <w:textAlignment w:val="center"/>
        <w:rPr/>
      </w:pPr>
      <w:r>
        <w:rPr/>
      </w:r>
    </w:p>
    <w:p>
      <w:pPr>
        <w:pStyle w:val="Normal"/>
        <w:textAlignment w:val="center"/>
        <w:rPr>
          <w:i/>
          <w:iCs/>
          <w:shd w:fill="FFFF00" w:val="clear"/>
        </w:rPr>
      </w:pPr>
      <w:r>
        <w:rPr>
          <w:i/>
          <w:iCs/>
          <w:shd w:fill="FFFF00" w:val="clear"/>
        </w:rPr>
        <w:t>Figure R2: Scale-up of treatment needed to halve HCV prevalence under different recruitment regimes</w:t>
      </w:r>
    </w:p>
    <w:p>
      <w:pPr>
        <w:pStyle w:val="Normal"/>
        <w:textAlignment w:val="center"/>
        <w:rPr/>
      </w:pPr>
      <w:r>
        <w:rPr/>
      </w:r>
    </w:p>
    <w:p>
      <w:pPr>
        <w:pStyle w:val="Normal"/>
        <w:textAlignment w:val="center"/>
        <w:rPr/>
      </w:pPr>
      <w:r>
        <w:rPr/>
      </w:r>
    </w:p>
    <w:p>
      <w:pPr>
        <w:pStyle w:val="Normal"/>
        <w:textAlignment w:val="center"/>
        <w:rPr/>
      </w:pPr>
      <w:r>
        <w:rPr/>
      </w:r>
    </w:p>
    <w:p>
      <w:pPr>
        <w:pStyle w:val="Normal"/>
        <w:textAlignment w:val="center"/>
        <w:rPr>
          <w:b w:val="false"/>
          <w:bCs w:val="false"/>
        </w:rPr>
      </w:pPr>
      <w:r>
        <w:rPr>
          <w:b w:val="false"/>
          <w:bCs w:val="false"/>
        </w:rPr>
        <w:t>We examined the probability of receiving treatment by group, and see if the recruitment is equitable</w:t>
      </w:r>
    </w:p>
    <w:p>
      <w:pPr>
        <w:pStyle w:val="Normal"/>
        <w:textAlignment w:val="center"/>
        <w:rPr/>
      </w:pPr>
      <w:r>
        <w:rPr/>
      </w:r>
    </w:p>
    <w:p>
      <w:pPr>
        <w:pStyle w:val="Normal"/>
        <w:textAlignment w:val="center"/>
        <w:rPr>
          <w:i/>
          <w:iCs/>
          <w:shd w:fill="FFFF00" w:val="clear"/>
        </w:rPr>
      </w:pPr>
      <w:r>
        <w:rPr>
          <w:i/>
          <w:iCs/>
          <w:shd w:fill="FFFF00" w:val="clear"/>
        </w:rPr>
        <w:t>Figure R3: Impact of enrollment methods on subpopulations of PWID.  Highlight inequities.</w:t>
      </w:r>
    </w:p>
    <w:p>
      <w:pPr>
        <w:pStyle w:val="Normal"/>
        <w:textAlignment w:val="center"/>
        <w:rPr/>
      </w:pPr>
      <w:r>
        <w:rPr/>
      </w:r>
    </w:p>
    <w:p>
      <w:pPr>
        <w:pStyle w:val="Normal"/>
        <w:textAlignment w:val="center"/>
        <w:rPr/>
      </w:pPr>
      <w:r>
        <w:rPr/>
      </w:r>
    </w:p>
    <w:p>
      <w:pPr>
        <w:pStyle w:val="Normal"/>
        <w:textAlignment w:val="center"/>
        <w:rPr>
          <w:i/>
          <w:iCs/>
          <w:shd w:fill="FFFF00" w:val="clear"/>
        </w:rPr>
      </w:pPr>
      <w:r>
        <w:rPr>
          <w:i/>
          <w:iCs/>
          <w:shd w:fill="FFFF00" w:val="clear"/>
        </w:rPr>
        <w:t>Table R4: Comparison of model results to ODE results.</w:t>
      </w:r>
    </w:p>
    <w:p>
      <w:pPr>
        <w:pStyle w:val="Normal"/>
        <w:textAlignment w:val="center"/>
        <w:rPr/>
      </w:pPr>
      <w:r>
        <w:rPr/>
      </w:r>
    </w:p>
    <w:p>
      <w:pPr>
        <w:pStyle w:val="Normal"/>
        <w:textAlignment w:val="center"/>
        <w:rPr/>
      </w:pPr>
      <w:r>
        <w:rPr/>
      </w:r>
    </w:p>
    <w:p>
      <w:pPr>
        <w:pStyle w:val="Normal"/>
        <w:textAlignment w:val="center"/>
        <w:rPr>
          <w:b/>
          <w:bCs/>
        </w:rPr>
      </w:pPr>
      <w:r>
        <w:rPr>
          <w:b/>
          <w:bCs/>
        </w:rPr>
        <w:t>DISCUSSION</w:t>
      </w:r>
    </w:p>
    <w:p>
      <w:pPr>
        <w:pStyle w:val="Normal"/>
        <w:textAlignment w:val="center"/>
        <w:rPr/>
      </w:pPr>
      <w:r>
        <w:rPr/>
        <w:t>[overall significance of the model]</w:t>
      </w:r>
    </w:p>
    <w:p>
      <w:pPr>
        <w:pStyle w:val="Normal"/>
        <w:textAlignment w:val="center"/>
        <w:rPr/>
      </w:pPr>
      <w:r>
        <w:rPr/>
      </w:r>
    </w:p>
    <w:p>
      <w:pPr>
        <w:pStyle w:val="Normal"/>
        <w:textAlignment w:val="center"/>
        <w:rPr/>
      </w:pPr>
      <w:r>
        <w:rPr/>
        <w:t>[discussion of ODE result]</w:t>
      </w:r>
    </w:p>
    <w:p>
      <w:pPr>
        <w:pStyle w:val="Normal"/>
        <w:textAlignment w:val="center"/>
        <w:rPr/>
      </w:pPr>
      <w:r>
        <w:rPr/>
      </w:r>
    </w:p>
    <w:p>
      <w:pPr>
        <w:pStyle w:val="Normal"/>
        <w:textAlignment w:val="center"/>
        <w:rPr/>
      </w:pPr>
      <w:r>
        <w:rPr/>
      </w:r>
    </w:p>
    <w:p>
      <w:pPr>
        <w:pStyle w:val="Normal"/>
        <w:textAlignment w:val="center"/>
        <w:rPr>
          <w:b/>
          <w:bCs/>
        </w:rPr>
      </w:pPr>
      <w:r>
        <w:rPr>
          <w:b/>
          <w:bCs/>
        </w:rPr>
        <w:t>CONCLUSION</w:t>
      </w:r>
    </w:p>
    <w:p>
      <w:pPr>
        <w:pStyle w:val="Normal"/>
        <w:textAlignment w:val="center"/>
        <w:rPr>
          <w:b w:val="false"/>
          <w:bCs w:val="false"/>
        </w:rPr>
      </w:pPr>
      <w:r>
        <w:rPr>
          <w:b w:val="false"/>
          <w:bCs w:val="false"/>
        </w:rPr>
        <w:t>f</w:t>
      </w:r>
    </w:p>
    <w:p>
      <w:pPr>
        <w:pStyle w:val="Normal"/>
        <w:textAlignment w:val="center"/>
        <w:rPr>
          <w:b w:val="false"/>
          <w:bCs w:val="false"/>
        </w:rPr>
      </w:pPr>
      <w:r>
        <w:rPr>
          <w:b w:val="false"/>
          <w:bCs w:val="false"/>
        </w:rPr>
      </w:r>
    </w:p>
    <w:p>
      <w:pPr>
        <w:pStyle w:val="Normal"/>
        <w:textAlignment w:val="center"/>
        <w:rPr>
          <w:b w:val="false"/>
          <w:bCs w:val="false"/>
        </w:rPr>
      </w:pPr>
      <w:r>
        <w:rPr>
          <w:b w:val="false"/>
          <w:bCs w:val="false"/>
        </w:rPr>
      </w:r>
    </w:p>
    <w:p>
      <w:pPr>
        <w:pStyle w:val="Normal"/>
        <w:textAlignment w:val="center"/>
        <w:rPr>
          <w:b/>
          <w:bCs/>
        </w:rPr>
      </w:pPr>
      <w:r>
        <w:rPr>
          <w:b/>
          <w:bCs/>
        </w:rPr>
        <w:t>Bibliography</w:t>
      </w:r>
    </w:p>
    <w:p>
      <w:pPr>
        <w:pStyle w:val="Normal"/>
        <w:textAlignment w:val="center"/>
        <w:rPr>
          <w:b w:val="false"/>
          <w:bCs w:val="false"/>
        </w:rPr>
      </w:pPr>
      <w:r>
        <w:rPr>
          <w:b w:val="false"/>
          <w:bCs w:val="false"/>
        </w:rPr>
      </w:r>
    </w:p>
    <w:p>
      <w:pPr>
        <w:pStyle w:val="Normal"/>
        <w:textAlignment w:val="center"/>
        <w:rPr>
          <w:b w:val="false"/>
          <w:bCs w:val="false"/>
        </w:rPr>
      </w:pPr>
      <w:r>
        <w:rPr>
          <w:b w:val="false"/>
          <w:bCs w:val="false"/>
        </w:rPr>
        <w:t>y</w:t>
      </w:r>
    </w:p>
    <w:p>
      <w:pPr>
        <w:pStyle w:val="Normal"/>
        <w:textAlignment w:val="center"/>
        <w:rPr/>
      </w:pPr>
      <w:r>
        <w:rPr/>
      </w:r>
    </w:p>
    <w:p>
      <w:pPr>
        <w:pStyle w:val="Normal"/>
        <w:textAlignment w:val="center"/>
        <w:rPr>
          <w:rFonts w:cs="Calibri" w:ascii="Calibri" w:hAnsi="Calibri"/>
          <w:b/>
          <w:bCs/>
        </w:rPr>
      </w:pPr>
      <w:r>
        <w:rPr>
          <w:rFonts w:cs="Calibri" w:ascii="Calibri" w:hAnsi="Calibri"/>
          <w:b/>
          <w:bCs/>
        </w:rPr>
        <w:t>APPENDIX</w:t>
      </w:r>
    </w:p>
    <w:sectPr>
      <w:footnotePr>
        <w:numFmt w:val="decimal"/>
      </w:footnotePr>
      <w:type w:val="nextPage"/>
      <w:pgSz w:w="12240" w:h="15840"/>
      <w:pgMar w:left="1455"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Helvetica 95 Black">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r>
        <w:r>
          <w:rPr>
            <w:rStyle w:val="InternetLink"/>
          </w:rPr>
          <w:t>http://journals.plos.org/plosone/article?id=10.1371/journal.pone.0135901</w:t>
        </w:r>
      </w:hyperlink>
      <w:r>
        <w:rPr/>
        <w:t xml:space="preserve"> </w:t>
      </w:r>
    </w:p>
  </w:footnote>
  <w:footnote w:id="3">
    <w:p>
      <w:pPr>
        <w:pStyle w:val="Footnote"/>
        <w:rPr/>
      </w:pPr>
      <w:hyperlink r:id="rId2">
        <w:r>
          <w:rPr>
            <w:rStyle w:val="InternetLink"/>
          </w:rPr>
          <w:footnoteRef/>
          <w:tab/>
        </w:r>
        <w:r>
          <w:rPr>
            <w:rStyle w:val="InternetLink"/>
          </w:rPr>
          <w:t>http://journals.plos.org/plosone/article?id=10.1371/journal.pone.0137993</w:t>
        </w:r>
      </w:hyperlink>
      <w:r>
        <w:rPr/>
        <w:t xml:space="preserve"> </w:t>
      </w:r>
    </w:p>
  </w:footnote>
  <w:footnote w:id="4">
    <w:p>
      <w:pPr>
        <w:pStyle w:val="Footnote"/>
        <w:rPr>
          <w:shd w:fill="FFFF00" w:val="clear"/>
        </w:rPr>
      </w:pPr>
      <w:r>
        <w:rPr>
          <w:shd w:fill="FFFF00" w:val="clear"/>
        </w:rPr>
        <w:footnoteRef/>
        <w:tab/>
      </w:r>
      <w:r>
        <w:rPr>
          <w:shd w:fill="FFFF00" w:val="clear"/>
        </w:rPr>
        <w:t xml:space="preserve">Parameter file gives these values.  It also has TRIALvalue entries, which should be used for quick debugging. </w:t>
      </w:r>
    </w:p>
  </w:footnote>
  <w:footnote w:id="5">
    <w:p>
      <w:pPr>
        <w:pStyle w:val="Footnote"/>
        <w:rPr/>
      </w:pPr>
      <w:r>
        <w:rPr/>
        <w:footnoteRef/>
        <w:tab/>
      </w:r>
      <w:r>
        <w:rPr/>
        <w:t>See AASLD abstract (which one?)</w:t>
      </w:r>
    </w:p>
  </w:footnote>
  <w:footnote w:id="6">
    <w:p>
      <w:pPr>
        <w:pStyle w:val="Footnote"/>
        <w:rPr/>
      </w:pPr>
      <w:r>
        <w:rPr/>
        <w:footnoteRef/>
        <w:tab/>
        <w:t>Cousien, Tran et al. Hepatology 2015 examined the role of linkage to care and disease progression.  Namely, they account for the likelihood of the PWID being tested, as well as being an advanced stage of disease which would receive DAA treatment.  In effect, our model of flat recruitment rate (10 per 1000) represents all factors that limit access to care, which includes cost of care, but also other factors.  It might be more realistic to separately model them, as do Cousien et al.</w:t>
      </w:r>
    </w:p>
  </w:footnote>
  <w:footnote w:id="7">
    <w:p>
      <w:pPr>
        <w:pStyle w:val="Footnote"/>
        <w:rPr/>
      </w:pPr>
      <w:r>
        <w:rPr/>
        <w:footnoteRef/>
        <w:tab/>
      </w:r>
      <w:r>
        <w:rPr/>
        <w:t>The Impact of Injecting Networks on Hepatitis C Transmission and Treatment in People Who Inject Drugs. HEPATOLOGY 2014;60:1861-1870)</w:t>
      </w:r>
    </w:p>
  </w:footnote>
  <w:footnote w:id="8">
    <w:p>
      <w:pPr>
        <w:pStyle w:val="Footnote"/>
        <w:rPr/>
      </w:pPr>
      <w:r>
        <w:rPr/>
        <w:footnoteRef/>
        <w:tab/>
      </w:r>
      <w:r>
        <w:rPr/>
        <w:t xml:space="preserve">See e.g. </w:t>
      </w:r>
      <w:hyperlink r:id="rId3">
        <w:r>
          <w:rPr>
            <w:rStyle w:val="InternetLink"/>
          </w:rPr>
          <w:t>http://www.hmsa.com/PORTAL/PROVIDER/MM.04.034_Harvoni_(Ledipasvir_Sofosbuvir)_for_Treatment_of_Hepatitis_C_120114.pdf</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20" w:leader="none"/>
      </w:tabs>
      <w:suppressAutoHyphens w:val="true"/>
      <w:bidi w:val="0"/>
      <w:jc w:val="left"/>
    </w:pPr>
    <w:rPr>
      <w:rFonts w:ascii="Garamond" w:hAnsi="Garamond" w:eastAsia="Times New Roman" w:cs="Times New Roman"/>
      <w:color w:val="00000A"/>
      <w:sz w:val="24"/>
      <w:szCs w:val="24"/>
      <w:lang w:val="en-US" w:eastAsia="en-US" w:bidi="ar-SA"/>
    </w:rPr>
  </w:style>
  <w:style w:type="paragraph" w:styleId="Heading1">
    <w:name w:val="Heading 1"/>
    <w:basedOn w:val="Normal"/>
    <w:pPr>
      <w:keepNext/>
    </w:pPr>
    <w:rPr>
      <w:rFonts w:ascii="Helvetica 95 Black" w:hAnsi="Helvetica 95 Black"/>
      <w:sz w:val="76"/>
    </w:rPr>
  </w:style>
  <w:style w:type="paragraph" w:styleId="Heading2">
    <w:name w:val="Heading 2"/>
    <w:basedOn w:val="Normal"/>
    <w:pPr>
      <w:keepNext/>
      <w:outlineLvl w:val="1"/>
    </w:pPr>
    <w:rPr>
      <w:rFonts w:ascii="Helvetica 95 Black" w:hAnsi="Helvetica 95 Black" w:cs="Arial"/>
      <w:sz w:val="30"/>
    </w:rPr>
  </w:style>
  <w:style w:type="paragraph" w:styleId="Heading3">
    <w:name w:val="Heading 3"/>
    <w:basedOn w:val="Normal"/>
    <w:pPr>
      <w:keepNext/>
      <w:outlineLvl w:val="2"/>
    </w:pPr>
    <w:rPr>
      <w:rFonts w:ascii="Times New Roman" w:hAnsi="Times New Roman"/>
      <w:b/>
      <w:sz w:val="20"/>
      <w:szCs w:val="20"/>
    </w:rPr>
  </w:style>
  <w:style w:type="paragraph" w:styleId="Heading4">
    <w:name w:val="Heading 4"/>
    <w:basedOn w:val="Normal"/>
    <w:pPr>
      <w:keepNext/>
      <w:overflowPunct w:val="true"/>
      <w:jc w:val="both"/>
      <w:textAlignment w:val="baseline"/>
      <w:outlineLvl w:val="3"/>
    </w:pPr>
    <w:rPr>
      <w:rFonts w:ascii="Times New Roman" w:hAnsi="Times New Roman"/>
      <w:b/>
      <w:sz w:val="22"/>
      <w:szCs w:val="20"/>
    </w:rPr>
  </w:style>
  <w:style w:type="paragraph" w:styleId="Heading5">
    <w:name w:val="Heading 5"/>
    <w:basedOn w:val="Normal"/>
    <w:pPr>
      <w:keepNext/>
      <w:overflowPunct w:val="true"/>
      <w:ind w:left="720" w:right="0" w:hanging="0"/>
      <w:jc w:val="both"/>
      <w:textAlignment w:val="baseline"/>
      <w:outlineLvl w:val="4"/>
    </w:pPr>
    <w:rPr>
      <w:rFonts w:ascii="Times New Roman" w:hAnsi="Times New Roman"/>
      <w:b/>
      <w:sz w:val="22"/>
      <w:szCs w:val="20"/>
    </w:rPr>
  </w:style>
  <w:style w:type="paragraph" w:styleId="Heading6">
    <w:name w:val="Heading 6"/>
    <w:basedOn w:val="Normal"/>
    <w:pPr>
      <w:keepNext/>
      <w:spacing w:lineRule="atLeast" w:line="240" w:before="60" w:after="0"/>
      <w:outlineLvl w:val="5"/>
    </w:pPr>
    <w:rPr>
      <w:rFonts w:ascii="Arial" w:hAnsi="Arial" w:cs="Arial"/>
      <w:b/>
      <w:sz w:val="20"/>
    </w:rPr>
  </w:style>
  <w:style w:type="paragraph" w:styleId="Heading7">
    <w:name w:val="Heading 7"/>
    <w:basedOn w:val="Normal"/>
    <w:pPr>
      <w:keepNext/>
      <w:spacing w:before="60" w:after="60"/>
      <w:outlineLvl w:val="6"/>
    </w:pPr>
    <w:rPr>
      <w:rFonts w:ascii="Arial" w:hAnsi="Arial" w:cs="Arial"/>
      <w:b/>
      <w:bCs/>
      <w:sz w:val="18"/>
    </w:rPr>
  </w:style>
  <w:style w:type="paragraph" w:styleId="Heading8">
    <w:name w:val="Heading 8"/>
    <w:basedOn w:val="Normal"/>
    <w:pPr>
      <w:keepNext/>
      <w:spacing w:before="120" w:after="60"/>
      <w:outlineLvl w:val="7"/>
    </w:pPr>
    <w:rPr>
      <w:rFonts w:ascii="Arial" w:hAnsi="Arial" w:cs="Arial"/>
      <w:b/>
      <w:sz w:val="18"/>
    </w:rPr>
  </w:style>
  <w:style w:type="paragraph" w:styleId="Heading9">
    <w:name w:val="Heading 9"/>
    <w:basedOn w:val="Normal"/>
    <w:pPr>
      <w:keepNext/>
      <w:outlineLvl w:val="8"/>
    </w:pPr>
    <w:rPr>
      <w:rFonts w:ascii="Arial Narrow" w:hAnsi="Arial Narrow"/>
      <w:b/>
      <w:sz w:val="28"/>
      <w:szCs w:val="20"/>
      <w:u w:val="single"/>
    </w:rPr>
  </w:style>
  <w:style w:type="character" w:styleId="DefaultParagraphFont">
    <w:name w:val="Default Paragraph Font"/>
    <w:rPr/>
  </w:style>
  <w:style w:type="character" w:styleId="Heading1Char">
    <w:name w:val="Heading 1 Char"/>
    <w:basedOn w:val="DefaultParagraphFont"/>
    <w:rPr>
      <w:rFonts w:ascii="Helvetica 95 Black" w:hAnsi="Helvetica 95 Black"/>
      <w:sz w:val="76"/>
      <w:szCs w:val="24"/>
    </w:rPr>
  </w:style>
  <w:style w:type="character" w:styleId="Heading2Char">
    <w:name w:val="Heading 2 Char"/>
    <w:basedOn w:val="DefaultParagraphFont"/>
    <w:rPr>
      <w:rFonts w:ascii="Helvetica 95 Black" w:hAnsi="Helvetica 95 Black" w:cs="Arial"/>
      <w:sz w:val="30"/>
      <w:szCs w:val="24"/>
    </w:rPr>
  </w:style>
  <w:style w:type="character" w:styleId="Heading3Char">
    <w:name w:val="Heading 3 Char"/>
    <w:basedOn w:val="DefaultParagraphFont"/>
    <w:rPr>
      <w:b/>
    </w:rPr>
  </w:style>
  <w:style w:type="character" w:styleId="Heading4Char">
    <w:name w:val="Heading 4 Char"/>
    <w:basedOn w:val="DefaultParagraphFont"/>
    <w:rPr>
      <w:b/>
      <w:sz w:val="22"/>
    </w:rPr>
  </w:style>
  <w:style w:type="character" w:styleId="Heading5Char">
    <w:name w:val="Heading 5 Char"/>
    <w:basedOn w:val="DefaultParagraphFont"/>
    <w:rPr>
      <w:b/>
      <w:sz w:val="22"/>
    </w:rPr>
  </w:style>
  <w:style w:type="character" w:styleId="Heading6Char">
    <w:name w:val="Heading 6 Char"/>
    <w:basedOn w:val="DefaultParagraphFont"/>
    <w:rPr>
      <w:rFonts w:ascii="Arial" w:hAnsi="Arial" w:cs="Arial"/>
      <w:b/>
      <w:szCs w:val="24"/>
    </w:rPr>
  </w:style>
  <w:style w:type="character" w:styleId="Heading7Char">
    <w:name w:val="Heading 7 Char"/>
    <w:basedOn w:val="DefaultParagraphFont"/>
    <w:rPr>
      <w:rFonts w:ascii="Arial" w:hAnsi="Arial" w:cs="Arial"/>
      <w:b/>
      <w:bCs/>
      <w:sz w:val="18"/>
      <w:szCs w:val="24"/>
    </w:rPr>
  </w:style>
  <w:style w:type="character" w:styleId="Heading8Char">
    <w:name w:val="Heading 8 Char"/>
    <w:basedOn w:val="DefaultParagraphFont"/>
    <w:rPr>
      <w:rFonts w:ascii="Arial" w:hAnsi="Arial" w:cs="Arial"/>
      <w:b/>
      <w:sz w:val="18"/>
      <w:szCs w:val="24"/>
    </w:rPr>
  </w:style>
  <w:style w:type="character" w:styleId="Heading9Char">
    <w:name w:val="Heading 9 Char"/>
    <w:basedOn w:val="DefaultParagraphFont"/>
    <w:rPr>
      <w:rFonts w:ascii="Arial Narrow" w:hAnsi="Arial Narrow"/>
      <w:b/>
      <w:sz w:val="28"/>
      <w:u w:val="single"/>
    </w:rPr>
  </w:style>
  <w:style w:type="character" w:styleId="ListLabel1">
    <w:name w:val="ListLabel 1"/>
    <w:rPr>
      <w:b/>
      <w:i w:val="false"/>
      <w:caps w:val="false"/>
      <w:smallCaps w:val="false"/>
      <w:strike w:val="false"/>
      <w:dstrike w:val="false"/>
      <w:outline w:val="false"/>
      <w:shadow w:val="false"/>
      <w:emboss w:val="false"/>
      <w:imprint w:val="false"/>
      <w:vanish w:val="false"/>
      <w:position w:val="0"/>
      <w:sz w:val="22"/>
      <w:sz w:val="22"/>
      <w:vertAlign w:val="baseline"/>
    </w:rPr>
  </w:style>
  <w:style w:type="character" w:styleId="ListLabel2">
    <w:name w:val="ListLabel 2"/>
    <w:rPr>
      <w:sz w:val="20"/>
    </w:rPr>
  </w:style>
  <w:style w:type="character" w:styleId="Bullets">
    <w:name w:val="Bullets"/>
    <w:rPr>
      <w:rFonts w:ascii="OpenSymbol" w:hAnsi="OpenSymbol" w:eastAsia="OpenSymbol"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FootnoteAnchor">
    <w:name w:val="Footnote Anchor"/>
    <w:rPr>
      <w:vertAlign w:val="superscript"/>
    </w:rPr>
  </w:style>
  <w:style w:type="character" w:styleId="InternetLink">
    <w:name w:val="Internet Link"/>
    <w:rPr>
      <w:color w:val="000080"/>
      <w:u w:val="single"/>
      <w:lang w:val="en-US" w:eastAsia="en-US" w:bidi="en-US"/>
    </w:rPr>
  </w:style>
  <w:style w:type="character" w:styleId="EndnoteAnchor">
    <w:name w:val="Endnote Anchor"/>
    <w:rPr>
      <w:vertAlign w:val="superscript"/>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Droid Sans Fallback"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NormalWeb">
    <w:name w:val="Normal (Web)"/>
    <w:basedOn w:val="Normal"/>
    <w:pPr>
      <w:spacing w:before="28" w:after="28"/>
    </w:pPr>
    <w:rPr>
      <w:rFonts w:ascii="Times New Roman" w:hAnsi="Times New Roman"/>
    </w:rPr>
  </w:style>
  <w:style w:type="paragraph" w:styleId="ListParagraph">
    <w:name w:val="List Paragraph"/>
    <w:basedOn w:val="Normal"/>
    <w:pPr>
      <w:ind w:left="720"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ootnote">
    <w:name w:val="Footnote"/>
    <w:basedOn w:val="Normal"/>
    <w:pPr>
      <w:suppressLineNumbers/>
      <w:ind w:left="339" w:right="0" w:hanging="339"/>
    </w:pPr>
    <w:rPr>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journals.plos.org/plosone/article?id=10.1371/journal.pone.0135901" TargetMode="External"/><Relationship Id="rId2" Type="http://schemas.openxmlformats.org/officeDocument/2006/relationships/hyperlink" Target="http://journals.plos.org/plosone/article?id=10.1371/journal.pone.0137993" TargetMode="External"/><Relationship Id="rId3" Type="http://schemas.openxmlformats.org/officeDocument/2006/relationships/hyperlink" Target="http://www.hmsa.com/PORTAL/PROVIDER/MM.04.034_Harvoni_(Ledipasvir_Sofosbuvir)_for_Treatment_of_Hepatitis_C_120114.pdf" TargetMode="External"/>
</Relationships>
</file>

<file path=docProps/app.xml><?xml version="1.0" encoding="utf-8"?>
<Properties xmlns="http://schemas.openxmlformats.org/officeDocument/2006/extended-properties" xmlns:vt="http://schemas.openxmlformats.org/officeDocument/2006/docPropsVTypes">
  <Template>Normal.dotm</Template>
  <TotalTime>28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2015-02-06T04:33:00Z</dcterms:created>
  <dc:creator>Sasha</dc:creator>
  <dc:language>en-US</dc:language>
  <cp:lastModifiedBy>Sasha</cp:lastModifiedBy>
  <dcterms:modified xsi:type="dcterms:W3CDTF">2015-02-06T05:01:00Z</dcterms:modified>
  <cp:revision>3</cp:revision>
</cp:coreProperties>
</file>