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3864"/>
          <w:sz w:val="32"/>
        </w:rPr>
        <w:t>ПРОГНОЗИРОВАНИЕ ФОНДОВОГО РЫНКА</w:t>
        <w:br/>
        <w:t>С ПОМОЩЬЮ LLM, РЫНОЧНЫХ РЕЖИМОВ</w:t>
        <w:br/>
        <w:t>И ПОИСКА ИСТОРИЧЕСКИХ АНАЛОГОВ</w:t>
      </w:r>
    </w:p>
    <w:p>
      <w:pPr>
        <w:jc w:val="center"/>
      </w:pPr>
      <w:r>
        <w:rPr>
          <w:i/>
          <w:sz w:val="22"/>
        </w:rPr>
        <w:t>Regime-Aware Retrieval-Augmented LLM Ensemble for Stock Market Forecasting</w:t>
      </w:r>
    </w:p>
    <w:p>
      <w:pPr>
        <w:jc w:val="center"/>
      </w:pPr>
      <w:r>
        <w:t>Видякин Михаил, Егоров Михаил, Ибраев Тимур, Карлин Александр, Федорович Дмитрий</w:t>
      </w:r>
    </w:p>
    <w:p>
      <w:pPr>
        <w:jc w:val="center"/>
      </w:pPr>
      <w:r>
        <w:rPr>
          <w:b/>
          <w:sz w:val="20"/>
        </w:rPr>
        <w:t>Эмпирическое пилотное исследование</w:t>
      </w:r>
    </w:p>
    <w:p>
      <w:pPr>
        <w:pStyle w:val="Heading1"/>
        <w:keepNext/>
      </w:pPr>
      <w:r>
        <w:t>Аннотация</w:t>
      </w:r>
    </w:p>
    <w:p>
      <w:r>
        <w:rPr>
          <w:i w:val="0"/>
        </w:rPr>
        <w:t>В работе исследуется подход к прогнозированию направления движения финансовых активов, объединяющий определение рыночного режима, поиск исторических аналогов и агрегирование прогнозов больших языковых моделей (LLM). Основной эксперимент охватывает шесть инструментов (SPX, AAPL, MSFT, NVDA, AMZN и TSLA) и 60 торговых дней на каждый инструмент. Сравниваются Gemini 3.1 Flash Lite и GPT-OSS 20B при обычном и режимно-зависимом поиске top-3 аналогов, а также два правила агрегирования — majority voting и confidence-weighted voting. Для confidence-weighted ансамбля Accuracy составила 0,411 при обычном поиске и 0,408 при режимно-зависимом; Balanced Accuracy в обоих случаях равна 0,418. При этом MCC увеличился с 0,027 до 0,060, а сообщаемая средняя доходность — с 3,53% до 8,18%; коэффициент Шарпа снизился с 0,70 до 0,59. Эти результаты указывают на различие между качеством классификации и торговыми показателями, но не доказывают устойчивого превосходства предложенного подхода. Эксперименты с LLM без retrieval, классическими базовыми моделями и режимно-зависимыми весами не выполнены; многократная walk-forward-проверка и интервалы неопределённости отсутствуют. Поэтому результаты интерпретируются как предварительные и требуют дальнейшей проверки.</w:t>
      </w:r>
    </w:p>
    <w:p>
      <w:r>
        <w:rPr>
          <w:i w:val="0"/>
        </w:rPr>
        <w:t>Ключевые слова: финансовые временные ряды; большие языковые модели; рыночные режимы; retrieval; исторические аналоги; ансамблирование; бэктестинг; утечка данных.</w:t>
      </w:r>
    </w:p>
    <w:p>
      <w:pPr>
        <w:pStyle w:val="Heading1"/>
        <w:keepNext/>
      </w:pPr>
      <w:r>
        <w:t>Abstract</w:t>
      </w:r>
    </w:p>
    <w:p>
      <w:r>
        <w:rPr>
          <w:i w:val="0"/>
        </w:rPr>
        <w:t>This paper examines a stock-direction forecasting approach that combines market-regime detection, historical-analogue retrieval, and aggregation of large language model (LLM) forecasts. The main pilot experiment covers six instruments (SPX, AAPL, MSFT, NVDA, AMZN, and TSLA), with 60 trading days per instrument. Gemini 3.1 Flash Lite and GPT-OSS 20B are evaluated with standard and regime-aware top-3 retrieval, using majority voting and confidence-weighted voting. For the confidence-weighted ensemble, accuracy is 0.411 with standard retrieval and 0.408 with regime-aware retrieval; balanced accuracy is 0.418 in both cases. MCC increases from 0.027 to 0.060, and the reported mean return rises from 3.53% to 8.18%, while the Sharpe ratio falls from 0.70 to 0.59. The results illustrate that classification quality and trading outcomes need to be evaluated separately, but they do not establish a robust advantage for regime-aware retrieval. LLM-without-retrieval, classical baselines, regime-dependent ensemble weights, multi-window walk-forward evaluation, and uncertainty intervals remain unavailable. The reported findings should therefore be treated as exploratory.</w:t>
      </w:r>
    </w:p>
    <w:p>
      <w:r>
        <w:rPr>
          <w:i w:val="0"/>
        </w:rPr>
        <w:t>Keywords: financial time series; large language models; market regimes; retrieval; historical analogues; ensembles; backtesting; data leakage.</w:t>
      </w:r>
    </w:p>
    <w:p>
      <w:pPr>
        <w:pStyle w:val="Heading1"/>
        <w:keepNext/>
      </w:pPr>
      <w:r>
        <w:t>1. Введение</w:t>
      </w:r>
    </w:p>
    <w:p>
      <w:r>
        <w:rPr>
          <w:i w:val="0"/>
        </w:rPr>
        <w:t>Прогнозирование доходностей финансовых активов осложняется низким отношением сигнала к шуму, нестационарностью распределений и изменением рыночных условий. Результат, полученный на одном периоде, не обязательно переносится на другой, поэтому оценка должна проводиться на данных, которые не использовались при настройке метода.</w:t>
      </w:r>
    </w:p>
    <w:p>
      <w:r>
        <w:rPr>
          <w:i w:val="0"/>
        </w:rPr>
        <w:t>Режимные модели описывают состояния рынка, различающиеся доходностью, волатильностью и динамикой переходов. Haase и Neuenkirch исследуют прогнозирование бычьих и медвежьих рынков [1], тогда как Kirby подчёркивает, что обнаружение режимной структуры само по себе не гарантирует прогнозируемости доходностей [2]. Параллельно развиваются финансовые LLM [3], авторегрессионные подходы к моделированию доходностей [4] и retrieval-augmented forecasting, где прогноз дополняется похожими историческими последовательностями [5; 6].</w:t>
      </w:r>
    </w:p>
    <w:p>
      <w:r>
        <w:rPr>
          <w:i w:val="0"/>
        </w:rPr>
        <w:t>Настоящее исследование проверяет два компонента: ограничение множества исторических аналогов текущим рыночным режимом и объединение прогнозов двух LLM. В отличие от утверждения о заранее известном преимуществе, работа рассматривает эти компоненты как эмпирические гипотезы. Доступные результаты позволяют оценить только часть запланированной экспериментальной схемы.</w:t>
      </w:r>
    </w:p>
    <w:p>
      <w:pPr>
        <w:pStyle w:val="Heading1"/>
        <w:keepNext/>
      </w:pPr>
      <w:r>
        <w:t>2. Цель, вопросы и гипотезы</w:t>
      </w:r>
    </w:p>
    <w:p>
      <w:r>
        <w:rPr>
          <w:i w:val="0"/>
        </w:rPr>
        <w:t>Цель работы — оценить предварительный вклад режимно-зависимого поиска исторических аналогов и ансамблирования LLM в прогнозирование направления движения финансовых активов.</w:t>
      </w:r>
    </w:p>
    <w:p>
      <w:pPr>
        <w:pStyle w:val="Heading2"/>
        <w:keepNext/>
      </w:pPr>
      <w:r>
        <w:t>2.1. Исследовательские вопросы</w:t>
      </w:r>
    </w:p>
    <w:p>
      <w:pPr>
        <w:pStyle w:val="ListNumber"/>
      </w:pPr>
      <w:r>
        <w:rPr>
          <w:i w:val="0"/>
        </w:rPr>
        <w:t>RQ1. Улучшает ли retrieval прогноз LLM по сравнению с той же моделью без исторического поиска?</w:t>
      </w:r>
    </w:p>
    <w:p>
      <w:pPr>
        <w:pStyle w:val="ListNumber"/>
      </w:pPr>
      <w:r>
        <w:rPr>
          <w:i w:val="0"/>
        </w:rPr>
        <w:t>RQ2. Даёт ли фильтрация аналогов по текущему режиму преимущество относительно поиска по всей доступной истории?</w:t>
      </w:r>
    </w:p>
    <w:p>
      <w:pPr>
        <w:pStyle w:val="ListNumber"/>
      </w:pPr>
      <w:r>
        <w:rPr>
          <w:i w:val="0"/>
        </w:rPr>
        <w:t>RQ3. Улучшает ли ансамбль двух LLM качество классификации и торговые показатели относительно отдельных моделей?</w:t>
      </w:r>
    </w:p>
    <w:p>
      <w:pPr>
        <w:pStyle w:val="ListNumber"/>
      </w:pPr>
      <w:r>
        <w:rPr>
          <w:i w:val="0"/>
        </w:rPr>
        <w:t>RQ4. Улучшают ли режимно-зависимые веса результаты относительно фиксированных весов, выбранных без обращения к тесту?</w:t>
      </w:r>
    </w:p>
    <w:p>
      <w:pPr>
        <w:pStyle w:val="Heading2"/>
        <w:keepNext/>
      </w:pPr>
      <w:r>
        <w:t>2.2. Проверяемые гипотезы</w:t>
      </w:r>
    </w:p>
    <w:p>
      <w:pPr>
        <w:pStyle w:val="ListBullet"/>
      </w:pPr>
      <w:r>
        <w:rPr>
          <w:i w:val="0"/>
        </w:rPr>
        <w:t>H1. LLM с retrieval превосходит аналогичную LLM без retrieval.</w:t>
      </w:r>
    </w:p>
    <w:p>
      <w:pPr>
        <w:pStyle w:val="ListBullet"/>
      </w:pPr>
      <w:r>
        <w:rPr>
          <w:i w:val="0"/>
        </w:rPr>
        <w:t>H2. Режимно-зависимый retrieval превосходит обычный retrieval по заранее выбранным метрикам.</w:t>
      </w:r>
    </w:p>
    <w:p>
      <w:pPr>
        <w:pStyle w:val="ListBullet"/>
      </w:pPr>
      <w:r>
        <w:rPr>
          <w:i w:val="0"/>
        </w:rPr>
        <w:t>H3. Ансамбль обеспечивает более качественные или устойчивые результаты, чем отдельные модели.</w:t>
      </w:r>
    </w:p>
    <w:p>
      <w:pPr>
        <w:pStyle w:val="ListBullet"/>
      </w:pPr>
      <w:r>
        <w:rPr>
          <w:i w:val="0"/>
        </w:rPr>
        <w:t>H4. Режимно-зависимые веса ансамбля улучшают результаты относительно фиксированных весов.</w:t>
      </w:r>
    </w:p>
    <w:p>
      <w:r>
        <w:rPr>
          <w:i w:val="0"/>
        </w:rPr>
        <w:t>Гипотезы не считаются доказанными заранее. Если соответствующий эксперимент не выполнен, гипотеза обозначается как непроверенная, а не как подтверждённая или опровергнутая.</w:t>
      </w:r>
    </w:p>
    <w:p>
      <w:pPr>
        <w:pStyle w:val="Heading1"/>
        <w:keepNext/>
      </w:pPr>
      <w:r>
        <w:t>3. Данные и постановка задачи</w:t>
      </w:r>
    </w:p>
    <w:p>
      <w:r>
        <w:t>В репозитории проекта указаны дневные данные по S&amp;P 500 (SPX) и пяти акциям: AAPL, MSFT, NVDA, AMZN и TSLA. Скрипт загрузки использует yfinance и скорректированные цены (auto_adjust=True), а скрипт признаков рассчитывает доходности, скользящую волатильность, MA20/MA200, расстояние цены до скользящих средних и RSI [8]. При аудите публичного features.py обнаружена проблема подготовки target: на последней строке каждого тикера next_close отсутствует, но сравнение преобразуется в целочисленный target=0. Если эти строки не удаляются отдельно, они ошибочно размечаются как дни без роста. Перед окончательной публикацией результатов этот участок следует исправить и заново сформировать датасет. В статье описан период исходных наблюдений с 26 июля 2017 г. по 9 октября 2026 г.; для основного эксперимента использовано последнее тестовое окно из 60 торговых дней на каждый актив.</w:t>
      </w:r>
    </w:p>
    <w:p>
      <w:r>
        <w:rPr>
          <w:i w:val="0"/>
        </w:rPr>
        <w:t>Целевая переменная бинарная: y(t)=1, если Close(t+1)&gt;Close(t), и y(t)=0 в противном случае. Прогноз строится по признакам, доступным на момент t. В проектном протоколе предусмотрено хронологическое разделение: обучение — до 31 декабря 2022 г.; валидация — с 3 января 2023 г. по 30 июня 2025 г.; финальный тест — с 1 июля 2025 г. Настройки, нормализация и параметры ансамбля не должны подбираться по финальному тесту.</w:t>
      </w:r>
    </w:p>
    <w:p>
      <w:r>
        <w:rPr>
          <w:i w:val="0"/>
        </w:rPr>
        <w:t>Для текущего прогона использовались return_5d, volatility_20d, RSI(14), distance_from_MA200, а при расчёте сходства — также volatility_5d и distance_from_MA20. В репозитории доступен код загрузки и подготовки признаков, однако полный код режимного детектора, retrieval, вызовов LLM, ансамбля и бэктеста в просмотренной версии репозитория не представлен. Поэтому независимое повторное вычисление всех опубликованных метрик по одному репозиторию пока невозможно.</w:t>
      </w:r>
    </w:p>
    <w:p>
      <w:pPr>
        <w:pStyle w:val="Heading1"/>
        <w:keepNext/>
      </w:pPr>
      <w:r>
        <w:t>4. Метод</w:t>
      </w:r>
    </w:p>
    <w:p>
      <w:pPr>
        <w:pStyle w:val="Heading2"/>
        <w:keepNext/>
      </w:pPr>
      <w:r>
        <w:t>4.1. Определение рыночного режима</w:t>
      </w:r>
    </w:p>
    <w:p>
      <w:r>
        <w:rPr>
          <w:i w:val="0"/>
        </w:rPr>
        <w:t>В описании эксперимента применён K-Means с четырьмя кластерами по return_5d, volatility_20d, distance_from_MA20 и distance_from_MA200. Модель обучалась на данных до 31 декабря 2022 г.; метки режима сглаживались окном длиной три дня. Кластеры интерпретировались как Bull, Bear, Sideways и High Volatility по их статистическим характеристикам. При этом названия являются постфактум-интерпретацией кластеров, а не метками, непосредственно выдаваемыми K-Means.</w:t>
      </w:r>
    </w:p>
    <w:p>
      <w:r>
        <w:rPr>
          <w:i w:val="0"/>
        </w:rPr>
        <w:t>Для строгой проверки отсутствия утечки необходимо подтвердить, что трёхдневное сглаживание является причинным и не использует наблюдения после даты прогноза. В доступных материалах эта деталь не закреплена достаточно явно, поэтому отсутствие утечки на данном шаге нельзя считать полностью независимо проверенным.</w:t>
      </w:r>
    </w:p>
    <w:p>
      <w:pPr>
        <w:pStyle w:val="Heading2"/>
        <w:keepNext/>
      </w:pPr>
      <w:r>
        <w:t>4.2. Поиск исторических аналогов</w:t>
      </w:r>
    </w:p>
    <w:p>
      <w:r>
        <w:rPr>
          <w:i w:val="0"/>
        </w:rPr>
        <w:t>Для каждого прогнозного момента формировался вектор признаков и выполнялся поиск трёх наиболее похожих исторических окон (top-3) по косинусному сходству. Сравнивались два режима: обычный retrieval по доступной истории и режимно-зависимый retrieval, ограниченный окнами текущего режима. По протоколу все аналоги должны предшествовать прогнозному моменту; будущий исход аналога не должен передаваться модели как известная информация.</w:t>
      </w:r>
    </w:p>
    <w:p>
      <w:pPr>
        <w:pStyle w:val="Heading2"/>
        <w:keepNext/>
      </w:pPr>
      <w:r>
        <w:t>4.3. Языковые модели и ансамбль</w:t>
      </w:r>
    </w:p>
    <w:p>
      <w:r>
        <w:rPr>
          <w:i w:val="0"/>
        </w:rPr>
        <w:t>В основном прогоне использовались Gemini 3.1 Flash Lite и GPT-OSS 20B. Обе модели получали стандартизированный вход с текущими признаками, режимом и тремя историческими аналогами; формат ответа включал направление прогноза, уверенность, вероятность роста и краткое объяснение. Температура генерации составляла 0,2. Ответы кэшировались, сырые ответы сохранялись; невалидный JSON не должен превращаться в случайный торговый сигнал.</w:t>
      </w:r>
    </w:p>
    <w:p>
      <w:r>
        <w:rPr>
          <w:i w:val="0"/>
        </w:rPr>
        <w:t>Сравнивались majority voting и confidence-weighted voting при обычном и режимно-зависимом retrieval. Часть вызовов Gemini 3.1 Flash Lite выполнялась через AnyModel из-за лимита запросов провайдера. Это ограничивает воспроизводимость: маршрутизация и фактическая версия модели могут различаться.</w:t>
      </w:r>
    </w:p>
    <w:p>
      <w:pPr>
        <w:pStyle w:val="Heading2"/>
        <w:keepNext/>
      </w:pPr>
      <w:r>
        <w:t>4.4. Метрики и торговая симуляция</w:t>
      </w:r>
    </w:p>
    <w:p>
      <w:r>
        <w:rPr>
          <w:i w:val="0"/>
        </w:rPr>
        <w:t>Классификационное качество оценивается через Accuracy, Balanced Accuracy и MCC. Accuracy показывает долю верных прогнозов, Balanced Accuracy усредняет полноту по классам, а MCC учитывает все элементы матрицы ошибок. Торговые показатели рассматриваются отдельно: накопленная доходность, Sharpe ratio и максимальная просадка.</w:t>
      </w:r>
    </w:p>
    <w:p>
      <w:r>
        <w:rPr>
          <w:i w:val="0"/>
        </w:rPr>
        <w:t>В исходных материалах для отдельного пилотного прогона AAPL были указаны комиссия 0,1%, проскальзывание 0,05%, длинные и короткие позиции, однако нельзя однозначно подтвердить, что те же параметры применялись в сводном шестиактивном прогоне. Кроме того, формирование сигнала по Close(t) и исполнение по тому же Close(t) может быть нереалистичным без специального механизма исполнения. Поэтому торговые результаты ниже следует считать сообщаемыми результатами текущего прототипа, а не подтверждённой оценкой исполнимой стратегии.</w:t>
      </w:r>
    </w:p>
    <w:p>
      <w:pPr>
        <w:pStyle w:val="Heading1"/>
        <w:keepNext/>
      </w:pPr>
      <w:r>
        <w:t>5. Экспериментальный дизайн и фактически выполненные проверки</w:t>
      </w:r>
    </w:p>
    <w:p>
      <w:r>
        <w:rPr>
          <w:i w:val="0"/>
        </w:rPr>
        <w:t>Изначальный план предусматривает шесть сравнений. Текущий набор результатов покрывает только часть этой матрицы.</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936"/>
            <w:shd w:fill="D9E2F3"/>
            <w:vAlign w:val="center"/>
          </w:tcPr>
          <w:p>
            <w:pPr>
              <w:jc w:val="center"/>
            </w:pPr>
            <w:r>
              <w:rPr>
                <w:rFonts w:ascii="Times New Roman" w:hAnsi="Times New Roman"/>
                <w:b/>
                <w:sz w:val="18"/>
              </w:rPr>
              <w:t>Код</w:t>
            </w:r>
          </w:p>
        </w:tc>
        <w:tc>
          <w:tcPr>
            <w:tcW w:type="dxa" w:w="3744"/>
            <w:shd w:fill="D9E2F3"/>
            <w:vAlign w:val="center"/>
          </w:tcPr>
          <w:p>
            <w:pPr>
              <w:jc w:val="center"/>
            </w:pPr>
            <w:r>
              <w:rPr>
                <w:rFonts w:ascii="Times New Roman" w:hAnsi="Times New Roman"/>
                <w:b/>
                <w:sz w:val="18"/>
              </w:rPr>
              <w:t>Конфигурация</w:t>
            </w:r>
          </w:p>
        </w:tc>
        <w:tc>
          <w:tcPr>
            <w:tcW w:type="dxa" w:w="5328"/>
            <w:shd w:fill="D9E2F3"/>
            <w:vAlign w:val="center"/>
          </w:tcPr>
          <w:p>
            <w:pPr>
              <w:jc w:val="center"/>
            </w:pPr>
            <w:r>
              <w:rPr>
                <w:rFonts w:ascii="Times New Roman" w:hAnsi="Times New Roman"/>
                <w:b/>
                <w:sz w:val="18"/>
              </w:rPr>
              <w:t>Статус по доступным материалам</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8"/>
              </w:rPr>
              <w:t>E1</w:t>
            </w:r>
          </w:p>
        </w:tc>
        <w:tc>
          <w:tcPr>
            <w:tcW w:type="dxa" w:w="3744"/>
            <w:vAlign w:val="center"/>
            <w:tcMar>
              <w:top w:w="70" w:type="dxa"/>
              <w:start w:w="80" w:type="dxa"/>
              <w:bottom w:w="70" w:type="dxa"/>
              <w:end w:w="80" w:type="dxa"/>
            </w:tcMar>
          </w:tcPr>
          <w:p>
            <w:pPr>
              <w:spacing w:after="0" w:line="240" w:lineRule="auto"/>
            </w:pPr>
            <w:r>
              <w:rPr>
                <w:rFonts w:ascii="Times New Roman" w:hAnsi="Times New Roman"/>
                <w:sz w:val="18"/>
              </w:rPr>
              <w:t>Наивные baseline и классические ML-модели</w:t>
            </w:r>
          </w:p>
        </w:tc>
        <w:tc>
          <w:tcPr>
            <w:tcW w:type="dxa" w:w="5328"/>
            <w:vAlign w:val="center"/>
            <w:tcMar>
              <w:top w:w="70" w:type="dxa"/>
              <w:start w:w="80" w:type="dxa"/>
              <w:bottom w:w="70" w:type="dxa"/>
              <w:end w:w="80" w:type="dxa"/>
            </w:tcMar>
          </w:tcPr>
          <w:p>
            <w:pPr>
              <w:spacing w:after="0" w:line="240" w:lineRule="auto"/>
            </w:pPr>
            <w:r>
              <w:rPr>
                <w:rFonts w:ascii="Times New Roman" w:hAnsi="Times New Roman"/>
                <w:sz w:val="18"/>
              </w:rPr>
              <w:t>Не выполнено / результаты не представлены</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8"/>
              </w:rPr>
              <w:t>E2</w:t>
            </w:r>
          </w:p>
        </w:tc>
        <w:tc>
          <w:tcPr>
            <w:tcW w:type="dxa" w:w="3744"/>
            <w:vAlign w:val="center"/>
            <w:tcMar>
              <w:top w:w="70" w:type="dxa"/>
              <w:start w:w="80" w:type="dxa"/>
              <w:bottom w:w="70" w:type="dxa"/>
              <w:end w:w="80" w:type="dxa"/>
            </w:tcMar>
          </w:tcPr>
          <w:p>
            <w:pPr>
              <w:spacing w:after="0" w:line="240" w:lineRule="auto"/>
            </w:pPr>
            <w:r>
              <w:rPr>
                <w:rFonts w:ascii="Times New Roman" w:hAnsi="Times New Roman"/>
                <w:sz w:val="18"/>
              </w:rPr>
              <w:t>Одна LLM без retrieval</w:t>
            </w:r>
          </w:p>
        </w:tc>
        <w:tc>
          <w:tcPr>
            <w:tcW w:type="dxa" w:w="5328"/>
            <w:vAlign w:val="center"/>
            <w:tcMar>
              <w:top w:w="70" w:type="dxa"/>
              <w:start w:w="80" w:type="dxa"/>
              <w:bottom w:w="70" w:type="dxa"/>
              <w:end w:w="80" w:type="dxa"/>
            </w:tcMar>
          </w:tcPr>
          <w:p>
            <w:pPr>
              <w:spacing w:after="0" w:line="240" w:lineRule="auto"/>
            </w:pPr>
            <w:r>
              <w:rPr>
                <w:rFonts w:ascii="Times New Roman" w:hAnsi="Times New Roman"/>
                <w:sz w:val="18"/>
              </w:rPr>
              <w:t>Не выполнено / результаты не представлены</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8"/>
              </w:rPr>
              <w:t>E3</w:t>
            </w:r>
          </w:p>
        </w:tc>
        <w:tc>
          <w:tcPr>
            <w:tcW w:type="dxa" w:w="3744"/>
            <w:vAlign w:val="center"/>
            <w:tcMar>
              <w:top w:w="70" w:type="dxa"/>
              <w:start w:w="80" w:type="dxa"/>
              <w:bottom w:w="70" w:type="dxa"/>
              <w:end w:w="80" w:type="dxa"/>
            </w:tcMar>
          </w:tcPr>
          <w:p>
            <w:pPr>
              <w:spacing w:after="0" w:line="240" w:lineRule="auto"/>
            </w:pPr>
            <w:r>
              <w:rPr>
                <w:rFonts w:ascii="Times New Roman" w:hAnsi="Times New Roman"/>
                <w:sz w:val="18"/>
              </w:rPr>
              <w:t>LLM с обычным retrieval</w:t>
            </w:r>
          </w:p>
        </w:tc>
        <w:tc>
          <w:tcPr>
            <w:tcW w:type="dxa" w:w="5328"/>
            <w:vAlign w:val="center"/>
            <w:tcMar>
              <w:top w:w="70" w:type="dxa"/>
              <w:start w:w="80" w:type="dxa"/>
              <w:bottom w:w="70" w:type="dxa"/>
              <w:end w:w="80" w:type="dxa"/>
            </w:tcMar>
          </w:tcPr>
          <w:p>
            <w:pPr>
              <w:spacing w:after="0" w:line="240" w:lineRule="auto"/>
            </w:pPr>
            <w:r>
              <w:rPr>
                <w:rFonts w:ascii="Times New Roman" w:hAnsi="Times New Roman"/>
                <w:sz w:val="18"/>
              </w:rPr>
              <w:t>Выполнено в основном прогоне</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8"/>
              </w:rPr>
              <w:t>E4</w:t>
            </w:r>
          </w:p>
        </w:tc>
        <w:tc>
          <w:tcPr>
            <w:tcW w:type="dxa" w:w="3744"/>
            <w:vAlign w:val="center"/>
            <w:tcMar>
              <w:top w:w="70" w:type="dxa"/>
              <w:start w:w="80" w:type="dxa"/>
              <w:bottom w:w="70" w:type="dxa"/>
              <w:end w:w="80" w:type="dxa"/>
            </w:tcMar>
          </w:tcPr>
          <w:p>
            <w:pPr>
              <w:spacing w:after="0" w:line="240" w:lineRule="auto"/>
            </w:pPr>
            <w:r>
              <w:rPr>
                <w:rFonts w:ascii="Times New Roman" w:hAnsi="Times New Roman"/>
                <w:sz w:val="18"/>
              </w:rPr>
              <w:t>LLM с режимно-зависимым retrieval</w:t>
            </w:r>
          </w:p>
        </w:tc>
        <w:tc>
          <w:tcPr>
            <w:tcW w:type="dxa" w:w="5328"/>
            <w:vAlign w:val="center"/>
            <w:tcMar>
              <w:top w:w="70" w:type="dxa"/>
              <w:start w:w="80" w:type="dxa"/>
              <w:bottom w:w="70" w:type="dxa"/>
              <w:end w:w="80" w:type="dxa"/>
            </w:tcMar>
          </w:tcPr>
          <w:p>
            <w:pPr>
              <w:spacing w:after="0" w:line="240" w:lineRule="auto"/>
            </w:pPr>
            <w:r>
              <w:rPr>
                <w:rFonts w:ascii="Times New Roman" w:hAnsi="Times New Roman"/>
                <w:sz w:val="18"/>
              </w:rPr>
              <w:t>Выполнено в основном прогоне</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8"/>
              </w:rPr>
              <w:t>E5</w:t>
            </w:r>
          </w:p>
        </w:tc>
        <w:tc>
          <w:tcPr>
            <w:tcW w:type="dxa" w:w="3744"/>
            <w:vAlign w:val="center"/>
            <w:tcMar>
              <w:top w:w="70" w:type="dxa"/>
              <w:start w:w="80" w:type="dxa"/>
              <w:bottom w:w="70" w:type="dxa"/>
              <w:end w:w="80" w:type="dxa"/>
            </w:tcMar>
          </w:tcPr>
          <w:p>
            <w:pPr>
              <w:spacing w:after="0" w:line="240" w:lineRule="auto"/>
            </w:pPr>
            <w:r>
              <w:rPr>
                <w:rFonts w:ascii="Times New Roman" w:hAnsi="Times New Roman"/>
                <w:sz w:val="18"/>
              </w:rPr>
              <w:t>Ансамбль LLM</w:t>
            </w:r>
          </w:p>
        </w:tc>
        <w:tc>
          <w:tcPr>
            <w:tcW w:type="dxa" w:w="5328"/>
            <w:vAlign w:val="center"/>
            <w:tcMar>
              <w:top w:w="70" w:type="dxa"/>
              <w:start w:w="80" w:type="dxa"/>
              <w:bottom w:w="70" w:type="dxa"/>
              <w:end w:w="80" w:type="dxa"/>
            </w:tcMar>
          </w:tcPr>
          <w:p>
            <w:pPr>
              <w:spacing w:after="0" w:line="240" w:lineRule="auto"/>
            </w:pPr>
            <w:r>
              <w:rPr>
                <w:rFonts w:ascii="Times New Roman" w:hAnsi="Times New Roman"/>
                <w:sz w:val="18"/>
              </w:rPr>
              <w:t>Частично: majority и confidence-weighted</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8"/>
              </w:rPr>
              <w:t>E6</w:t>
            </w:r>
          </w:p>
        </w:tc>
        <w:tc>
          <w:tcPr>
            <w:tcW w:type="dxa" w:w="3744"/>
            <w:vAlign w:val="center"/>
            <w:tcMar>
              <w:top w:w="70" w:type="dxa"/>
              <w:start w:w="80" w:type="dxa"/>
              <w:bottom w:w="70" w:type="dxa"/>
              <w:end w:w="80" w:type="dxa"/>
            </w:tcMar>
          </w:tcPr>
          <w:p>
            <w:pPr>
              <w:spacing w:after="0" w:line="240" w:lineRule="auto"/>
            </w:pPr>
            <w:r>
              <w:rPr>
                <w:rFonts w:ascii="Times New Roman" w:hAnsi="Times New Roman"/>
                <w:sz w:val="18"/>
              </w:rPr>
              <w:t>Режимно-зависимые веса ансамбля</w:t>
            </w:r>
          </w:p>
        </w:tc>
        <w:tc>
          <w:tcPr>
            <w:tcW w:type="dxa" w:w="5328"/>
            <w:vAlign w:val="center"/>
            <w:tcMar>
              <w:top w:w="70" w:type="dxa"/>
              <w:start w:w="80" w:type="dxa"/>
              <w:bottom w:w="70" w:type="dxa"/>
              <w:end w:w="80" w:type="dxa"/>
            </w:tcMar>
          </w:tcPr>
          <w:p>
            <w:pPr>
              <w:spacing w:after="0" w:line="240" w:lineRule="auto"/>
            </w:pPr>
            <w:r>
              <w:rPr>
                <w:rFonts w:ascii="Times New Roman" w:hAnsi="Times New Roman"/>
                <w:sz w:val="18"/>
              </w:rPr>
              <w:t>Не выполнено</w:t>
            </w:r>
          </w:p>
        </w:tc>
      </w:tr>
    </w:tbl>
    <w:p/>
    <w:p>
      <w:r>
        <w:rPr>
          <w:i w:val="0"/>
        </w:rPr>
        <w:t>Для каждой из двух LLM получено по 720 ответов: 6 активов × 60 дней × 2 варианта retrieval. Таким образом, каждый вариант retrieval содержит до 360 наблюдений по шести активам. В таблицах используются только сводные числа, предоставленные для текущего прогона; они не были пересчитаны из исходных ответов в рамках настоящей редакции.</w:t>
      </w:r>
    </w:p>
    <w:p>
      <w:pPr>
        <w:pStyle w:val="Heading1"/>
        <w:keepNext/>
      </w:pPr>
      <w:r>
        <w:t>6. Результаты</w:t>
      </w:r>
    </w:p>
    <w:p>
      <w:pPr>
        <w:pStyle w:val="Heading2"/>
        <w:keepNext/>
      </w:pPr>
      <w:r>
        <w:t>6.1. Сравнение агрегированных результатов</w:t>
      </w:r>
    </w:p>
    <w:p>
      <w:r>
        <w:rPr>
          <w:i w:val="0"/>
        </w:rPr>
        <w:t>Таблица 1 сопоставляет два confidence-weighted ансамбля по сводным метрикам. Числа для доходности и риск-метрик приведены в исходном отчёте как средние по активам; способ агрегации Sharpe и максимальной просадки требует фиксации в воспроизводимом коде.</w:t>
      </w:r>
    </w:p>
    <w:tbl>
      <w:tblPr>
        <w:tblStyle w:val="TableGrid"/>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3096"/>
            <w:shd w:fill="D9E2F3"/>
            <w:vAlign w:val="center"/>
          </w:tcPr>
          <w:p>
            <w:pPr>
              <w:jc w:val="center"/>
            </w:pPr>
            <w:r>
              <w:rPr>
                <w:rFonts w:ascii="Times New Roman" w:hAnsi="Times New Roman"/>
                <w:b/>
                <w:sz w:val="16"/>
              </w:rPr>
              <w:t>Вариант</w:t>
            </w:r>
          </w:p>
        </w:tc>
        <w:tc>
          <w:tcPr>
            <w:tcW w:type="dxa" w:w="648"/>
            <w:shd w:fill="D9E2F3"/>
            <w:vAlign w:val="center"/>
          </w:tcPr>
          <w:p>
            <w:pPr>
              <w:jc w:val="center"/>
            </w:pPr>
            <w:r>
              <w:rPr>
                <w:rFonts w:ascii="Times New Roman" w:hAnsi="Times New Roman"/>
                <w:b/>
                <w:sz w:val="16"/>
              </w:rPr>
              <w:t>n</w:t>
            </w:r>
          </w:p>
        </w:tc>
        <w:tc>
          <w:tcPr>
            <w:tcW w:type="dxa" w:w="936"/>
            <w:shd w:fill="D9E2F3"/>
            <w:vAlign w:val="center"/>
          </w:tcPr>
          <w:p>
            <w:pPr>
              <w:jc w:val="center"/>
            </w:pPr>
            <w:r>
              <w:rPr>
                <w:rFonts w:ascii="Times New Roman" w:hAnsi="Times New Roman"/>
                <w:b/>
                <w:sz w:val="16"/>
              </w:rPr>
              <w:t>Accuracy</w:t>
            </w:r>
          </w:p>
        </w:tc>
        <w:tc>
          <w:tcPr>
            <w:tcW w:type="dxa" w:w="1080"/>
            <w:shd w:fill="D9E2F3"/>
            <w:vAlign w:val="center"/>
          </w:tcPr>
          <w:p>
            <w:pPr>
              <w:jc w:val="center"/>
            </w:pPr>
            <w:r>
              <w:rPr>
                <w:rFonts w:ascii="Times New Roman" w:hAnsi="Times New Roman"/>
                <w:b/>
                <w:sz w:val="16"/>
              </w:rPr>
              <w:t>Balanced Acc.</w:t>
            </w:r>
          </w:p>
        </w:tc>
        <w:tc>
          <w:tcPr>
            <w:tcW w:type="dxa" w:w="792"/>
            <w:shd w:fill="D9E2F3"/>
            <w:vAlign w:val="center"/>
          </w:tcPr>
          <w:p>
            <w:pPr>
              <w:jc w:val="center"/>
            </w:pPr>
            <w:r>
              <w:rPr>
                <w:rFonts w:ascii="Times New Roman" w:hAnsi="Times New Roman"/>
                <w:b/>
                <w:sz w:val="16"/>
              </w:rPr>
              <w:t>MCC</w:t>
            </w:r>
          </w:p>
        </w:tc>
        <w:tc>
          <w:tcPr>
            <w:tcW w:type="dxa" w:w="1440"/>
            <w:shd w:fill="D9E2F3"/>
            <w:vAlign w:val="center"/>
          </w:tcPr>
          <w:p>
            <w:pPr>
              <w:jc w:val="center"/>
            </w:pPr>
            <w:r>
              <w:rPr>
                <w:rFonts w:ascii="Times New Roman" w:hAnsi="Times New Roman"/>
                <w:b/>
                <w:sz w:val="16"/>
              </w:rPr>
              <w:t>Средняя доходность</w:t>
            </w:r>
          </w:p>
        </w:tc>
        <w:tc>
          <w:tcPr>
            <w:tcW w:type="dxa" w:w="792"/>
            <w:shd w:fill="D9E2F3"/>
            <w:vAlign w:val="center"/>
          </w:tcPr>
          <w:p>
            <w:pPr>
              <w:jc w:val="center"/>
            </w:pPr>
            <w:r>
              <w:rPr>
                <w:rFonts w:ascii="Times New Roman" w:hAnsi="Times New Roman"/>
                <w:b/>
                <w:sz w:val="16"/>
              </w:rPr>
              <w:t>Sharpe</w:t>
            </w:r>
          </w:p>
        </w:tc>
        <w:tc>
          <w:tcPr>
            <w:tcW w:type="dxa" w:w="936"/>
            <w:shd w:fill="D9E2F3"/>
            <w:vAlign w:val="center"/>
          </w:tcPr>
          <w:p>
            <w:pPr>
              <w:jc w:val="center"/>
            </w:pPr>
            <w:r>
              <w:rPr>
                <w:rFonts w:ascii="Times New Roman" w:hAnsi="Times New Roman"/>
                <w:b/>
                <w:sz w:val="16"/>
              </w:rPr>
              <w:t>Max DD</w:t>
            </w:r>
          </w:p>
        </w:tc>
      </w:tr>
      <w:tr>
        <w:tc>
          <w:tcPr>
            <w:tcW w:type="dxa" w:w="3096"/>
            <w:vAlign w:val="center"/>
            <w:tcMar>
              <w:top w:w="70" w:type="dxa"/>
              <w:start w:w="80" w:type="dxa"/>
              <w:bottom w:w="70" w:type="dxa"/>
              <w:end w:w="80" w:type="dxa"/>
            </w:tcMar>
          </w:tcPr>
          <w:p>
            <w:pPr>
              <w:spacing w:after="0" w:line="240" w:lineRule="auto"/>
            </w:pPr>
            <w:r>
              <w:rPr>
                <w:rFonts w:ascii="Times New Roman" w:hAnsi="Times New Roman"/>
                <w:sz w:val="16"/>
              </w:rPr>
              <w:t>Standard retrieval + confidence-weighted</w:t>
            </w:r>
          </w:p>
        </w:tc>
        <w:tc>
          <w:tcPr>
            <w:tcW w:type="dxa" w:w="648"/>
            <w:vAlign w:val="center"/>
            <w:tcMar>
              <w:top w:w="70" w:type="dxa"/>
              <w:start w:w="80" w:type="dxa"/>
              <w:bottom w:w="70" w:type="dxa"/>
              <w:end w:w="80" w:type="dxa"/>
            </w:tcMar>
          </w:tcPr>
          <w:p>
            <w:pPr>
              <w:spacing w:after="0" w:line="240" w:lineRule="auto"/>
            </w:pPr>
            <w:r>
              <w:rPr>
                <w:rFonts w:ascii="Times New Roman" w:hAnsi="Times New Roman"/>
                <w:sz w:val="16"/>
              </w:rPr>
              <w:t>360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0,411</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0,418</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0,027</w:t>
            </w:r>
          </w:p>
        </w:tc>
        <w:tc>
          <w:tcPr>
            <w:tcW w:type="dxa" w:w="1440"/>
            <w:vAlign w:val="center"/>
            <w:tcMar>
              <w:top w:w="70" w:type="dxa"/>
              <w:start w:w="80" w:type="dxa"/>
              <w:bottom w:w="70" w:type="dxa"/>
              <w:end w:w="80" w:type="dxa"/>
            </w:tcMar>
          </w:tcPr>
          <w:p>
            <w:pPr>
              <w:spacing w:after="0" w:line="240" w:lineRule="auto"/>
            </w:pPr>
            <w:r>
              <w:rPr>
                <w:rFonts w:ascii="Times New Roman" w:hAnsi="Times New Roman"/>
                <w:sz w:val="16"/>
              </w:rPr>
              <w:t>3,53%</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0,70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−14,2%</w:t>
            </w:r>
          </w:p>
        </w:tc>
      </w:tr>
      <w:tr>
        <w:tc>
          <w:tcPr>
            <w:tcW w:type="dxa" w:w="3096"/>
            <w:vAlign w:val="center"/>
            <w:tcMar>
              <w:top w:w="70" w:type="dxa"/>
              <w:start w:w="80" w:type="dxa"/>
              <w:bottom w:w="70" w:type="dxa"/>
              <w:end w:w="80" w:type="dxa"/>
            </w:tcMar>
          </w:tcPr>
          <w:p>
            <w:pPr>
              <w:spacing w:after="0" w:line="240" w:lineRule="auto"/>
            </w:pPr>
            <w:r>
              <w:rPr>
                <w:rFonts w:ascii="Times New Roman" w:hAnsi="Times New Roman"/>
                <w:sz w:val="16"/>
              </w:rPr>
              <w:t>Regime-aware retrieval + confidence-weighted</w:t>
            </w:r>
          </w:p>
        </w:tc>
        <w:tc>
          <w:tcPr>
            <w:tcW w:type="dxa" w:w="648"/>
            <w:vAlign w:val="center"/>
            <w:tcMar>
              <w:top w:w="70" w:type="dxa"/>
              <w:start w:w="80" w:type="dxa"/>
              <w:bottom w:w="70" w:type="dxa"/>
              <w:end w:w="80" w:type="dxa"/>
            </w:tcMar>
          </w:tcPr>
          <w:p>
            <w:pPr>
              <w:spacing w:after="0" w:line="240" w:lineRule="auto"/>
            </w:pPr>
            <w:r>
              <w:rPr>
                <w:rFonts w:ascii="Times New Roman" w:hAnsi="Times New Roman"/>
                <w:sz w:val="16"/>
              </w:rPr>
              <w:t>360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0,408</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0,418</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0,060</w:t>
            </w:r>
          </w:p>
        </w:tc>
        <w:tc>
          <w:tcPr>
            <w:tcW w:type="dxa" w:w="1440"/>
            <w:vAlign w:val="center"/>
            <w:tcMar>
              <w:top w:w="70" w:type="dxa"/>
              <w:start w:w="80" w:type="dxa"/>
              <w:bottom w:w="70" w:type="dxa"/>
              <w:end w:w="80" w:type="dxa"/>
            </w:tcMar>
          </w:tcPr>
          <w:p>
            <w:pPr>
              <w:spacing w:after="0" w:line="240" w:lineRule="auto"/>
            </w:pPr>
            <w:r>
              <w:rPr>
                <w:rFonts w:ascii="Times New Roman" w:hAnsi="Times New Roman"/>
                <w:sz w:val="16"/>
              </w:rPr>
              <w:t>8,18%</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0,59</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−10,7%</w:t>
            </w:r>
          </w:p>
        </w:tc>
      </w:tr>
    </w:tbl>
    <w:p/>
    <w:p>
      <w:r>
        <w:rPr>
          <w:i w:val="0"/>
        </w:rPr>
        <w:t>Разница Accuracy между вариантами составляет −0,003 в пользу обычного retrieval, тогда как Balanced Accuracy одинакова. MCC выше у режимно-зависимого варианта (0,060 против 0,027), но оба значения близки к нулю. Сообщаемая средняя доходность выше у regime-aware варианта (8,18% против 3,53%), однако Sharpe ниже (0,59 против 0,70). Без доверительных интервалов, одинаково зафиксированных торговых издержек и повторных временных окон эти различия не позволяют утверждать, что один вариант устойчиво превосходит другой.</w:t>
      </w:r>
    </w:p>
    <w:p>
      <w:r>
        <w:rPr>
          <w:i w:val="0"/>
        </w:rPr>
        <w:t>По исходному отчёту majority voting показал Accuracy в диапазоне 0,172–0,197, то есть существенно ниже confidence-weighted ансамбля. Это указывает на чувствительность результата к правилу агрегирования. Однако без полного набора метрик и точного определения обработки ничьих/сигнала HOLD сравнение остаётся неполным.</w:t>
      </w:r>
    </w:p>
    <w:p>
      <w:pPr>
        <w:pStyle w:val="Heading2"/>
        <w:keepNext/>
      </w:pPr>
      <w:r>
        <w:t>6.2. Результаты regime-aware confidence-weighted по активам</w:t>
      </w:r>
    </w:p>
    <w:tbl>
      <w:tblPr>
        <w:tblStyle w:val="TableGrid"/>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c>
          <w:tcPr>
            <w:tcW w:type="dxa" w:w="936"/>
            <w:shd w:fill="D9E2F3"/>
            <w:vAlign w:val="center"/>
          </w:tcPr>
          <w:p>
            <w:pPr>
              <w:jc w:val="center"/>
            </w:pPr>
            <w:r>
              <w:rPr>
                <w:rFonts w:ascii="Times New Roman" w:hAnsi="Times New Roman"/>
                <w:b/>
                <w:sz w:val="16"/>
              </w:rPr>
              <w:t>Актив</w:t>
            </w:r>
          </w:p>
        </w:tc>
        <w:tc>
          <w:tcPr>
            <w:tcW w:type="dxa" w:w="576"/>
            <w:shd w:fill="D9E2F3"/>
            <w:vAlign w:val="center"/>
          </w:tcPr>
          <w:p>
            <w:pPr>
              <w:jc w:val="center"/>
            </w:pPr>
            <w:r>
              <w:rPr>
                <w:rFonts w:ascii="Times New Roman" w:hAnsi="Times New Roman"/>
                <w:b/>
                <w:sz w:val="16"/>
              </w:rPr>
              <w:t>n</w:t>
            </w:r>
          </w:p>
        </w:tc>
        <w:tc>
          <w:tcPr>
            <w:tcW w:type="dxa" w:w="936"/>
            <w:shd w:fill="D9E2F3"/>
            <w:vAlign w:val="center"/>
          </w:tcPr>
          <w:p>
            <w:pPr>
              <w:jc w:val="center"/>
            </w:pPr>
            <w:r>
              <w:rPr>
                <w:rFonts w:ascii="Times New Roman" w:hAnsi="Times New Roman"/>
                <w:b/>
                <w:sz w:val="16"/>
              </w:rPr>
              <w:t>Accuracy</w:t>
            </w:r>
          </w:p>
        </w:tc>
        <w:tc>
          <w:tcPr>
            <w:tcW w:type="dxa" w:w="1080"/>
            <w:shd w:fill="D9E2F3"/>
            <w:vAlign w:val="center"/>
          </w:tcPr>
          <w:p>
            <w:pPr>
              <w:jc w:val="center"/>
            </w:pPr>
            <w:r>
              <w:rPr>
                <w:rFonts w:ascii="Times New Roman" w:hAnsi="Times New Roman"/>
                <w:b/>
                <w:sz w:val="16"/>
              </w:rPr>
              <w:t>Balanced Acc.</w:t>
            </w:r>
          </w:p>
        </w:tc>
        <w:tc>
          <w:tcPr>
            <w:tcW w:type="dxa" w:w="792"/>
            <w:shd w:fill="D9E2F3"/>
            <w:vAlign w:val="center"/>
          </w:tcPr>
          <w:p>
            <w:pPr>
              <w:jc w:val="center"/>
            </w:pPr>
            <w:r>
              <w:rPr>
                <w:rFonts w:ascii="Times New Roman" w:hAnsi="Times New Roman"/>
                <w:b/>
                <w:sz w:val="16"/>
              </w:rPr>
              <w:t>MCC</w:t>
            </w:r>
          </w:p>
        </w:tc>
        <w:tc>
          <w:tcPr>
            <w:tcW w:type="dxa" w:w="1152"/>
            <w:shd w:fill="D9E2F3"/>
            <w:vAlign w:val="center"/>
          </w:tcPr>
          <w:p>
            <w:pPr>
              <w:jc w:val="center"/>
            </w:pPr>
            <w:r>
              <w:rPr>
                <w:rFonts w:ascii="Times New Roman" w:hAnsi="Times New Roman"/>
                <w:b/>
                <w:sz w:val="16"/>
              </w:rPr>
              <w:t>Доходность</w:t>
            </w:r>
          </w:p>
        </w:tc>
        <w:tc>
          <w:tcPr>
            <w:tcW w:type="dxa" w:w="792"/>
            <w:shd w:fill="D9E2F3"/>
            <w:vAlign w:val="center"/>
          </w:tcPr>
          <w:p>
            <w:pPr>
              <w:jc w:val="center"/>
            </w:pPr>
            <w:r>
              <w:rPr>
                <w:rFonts w:ascii="Times New Roman" w:hAnsi="Times New Roman"/>
                <w:b/>
                <w:sz w:val="16"/>
              </w:rPr>
              <w:t>Sharpe</w:t>
            </w:r>
          </w:p>
        </w:tc>
        <w:tc>
          <w:tcPr>
            <w:tcW w:type="dxa" w:w="1008"/>
            <w:shd w:fill="D9E2F3"/>
            <w:vAlign w:val="center"/>
          </w:tcPr>
          <w:p>
            <w:pPr>
              <w:jc w:val="center"/>
            </w:pPr>
            <w:r>
              <w:rPr>
                <w:rFonts w:ascii="Times New Roman" w:hAnsi="Times New Roman"/>
                <w:b/>
                <w:sz w:val="16"/>
              </w:rPr>
              <w:t>Max DD</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AAPL</w:t>
            </w:r>
          </w:p>
        </w:tc>
        <w:tc>
          <w:tcPr>
            <w:tcW w:type="dxa" w:w="576"/>
            <w:vAlign w:val="center"/>
            <w:tcMar>
              <w:top w:w="70" w:type="dxa"/>
              <w:start w:w="80" w:type="dxa"/>
              <w:bottom w:w="70" w:type="dxa"/>
              <w:end w:w="80" w:type="dxa"/>
            </w:tcMar>
          </w:tcPr>
          <w:p>
            <w:pPr>
              <w:spacing w:after="0" w:line="240" w:lineRule="auto"/>
            </w:pPr>
            <w:r>
              <w:rPr>
                <w:rFonts w:ascii="Times New Roman" w:hAnsi="Times New Roman"/>
                <w:sz w:val="16"/>
              </w:rPr>
              <w:t>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0,250</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0,254</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0,047</w:t>
            </w:r>
          </w:p>
        </w:tc>
        <w:tc>
          <w:tcPr>
            <w:tcW w:type="dxa" w:w="1152"/>
            <w:vAlign w:val="center"/>
            <w:tcMar>
              <w:top w:w="70" w:type="dxa"/>
              <w:start w:w="80" w:type="dxa"/>
              <w:bottom w:w="70" w:type="dxa"/>
              <w:end w:w="80" w:type="dxa"/>
            </w:tcMar>
          </w:tcPr>
          <w:p>
            <w:pPr>
              <w:spacing w:after="0" w:line="240" w:lineRule="auto"/>
            </w:pPr>
            <w:r>
              <w:rPr>
                <w:rFonts w:ascii="Times New Roman" w:hAnsi="Times New Roman"/>
                <w:sz w:val="16"/>
              </w:rPr>
              <w:t>−0,65%</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−0,04</w:t>
            </w:r>
          </w:p>
        </w:tc>
        <w:tc>
          <w:tcPr>
            <w:tcW w:type="dxa" w:w="1008"/>
            <w:vAlign w:val="center"/>
            <w:tcMar>
              <w:top w:w="70" w:type="dxa"/>
              <w:start w:w="80" w:type="dxa"/>
              <w:bottom w:w="70" w:type="dxa"/>
              <w:end w:w="80" w:type="dxa"/>
            </w:tcMar>
          </w:tcPr>
          <w:p>
            <w:pPr>
              <w:spacing w:after="0" w:line="240" w:lineRule="auto"/>
            </w:pPr>
            <w:r>
              <w:rPr>
                <w:rFonts w:ascii="Times New Roman" w:hAnsi="Times New Roman"/>
                <w:sz w:val="16"/>
              </w:rPr>
              <w:t>−9,02%</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AMZN</w:t>
            </w:r>
          </w:p>
        </w:tc>
        <w:tc>
          <w:tcPr>
            <w:tcW w:type="dxa" w:w="576"/>
            <w:vAlign w:val="center"/>
            <w:tcMar>
              <w:top w:w="70" w:type="dxa"/>
              <w:start w:w="80" w:type="dxa"/>
              <w:bottom w:w="70" w:type="dxa"/>
              <w:end w:w="80" w:type="dxa"/>
            </w:tcMar>
          </w:tcPr>
          <w:p>
            <w:pPr>
              <w:spacing w:after="0" w:line="240" w:lineRule="auto"/>
            </w:pPr>
            <w:r>
              <w:rPr>
                <w:rFonts w:ascii="Times New Roman" w:hAnsi="Times New Roman"/>
                <w:sz w:val="16"/>
              </w:rPr>
              <w:t>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0,500</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0,570</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0,237</w:t>
            </w:r>
          </w:p>
        </w:tc>
        <w:tc>
          <w:tcPr>
            <w:tcW w:type="dxa" w:w="1152"/>
            <w:vAlign w:val="center"/>
            <w:tcMar>
              <w:top w:w="70" w:type="dxa"/>
              <w:start w:w="80" w:type="dxa"/>
              <w:bottom w:w="70" w:type="dxa"/>
              <w:end w:w="80" w:type="dxa"/>
            </w:tcMar>
          </w:tcPr>
          <w:p>
            <w:pPr>
              <w:spacing w:after="0" w:line="240" w:lineRule="auto"/>
            </w:pPr>
            <w:r>
              <w:rPr>
                <w:rFonts w:ascii="Times New Roman" w:hAnsi="Times New Roman"/>
                <w:sz w:val="16"/>
              </w:rPr>
              <w:t>22,76%</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2,32</w:t>
            </w:r>
          </w:p>
        </w:tc>
        <w:tc>
          <w:tcPr>
            <w:tcW w:type="dxa" w:w="1008"/>
            <w:vAlign w:val="center"/>
            <w:tcMar>
              <w:top w:w="70" w:type="dxa"/>
              <w:start w:w="80" w:type="dxa"/>
              <w:bottom w:w="70" w:type="dxa"/>
              <w:end w:w="80" w:type="dxa"/>
            </w:tcMar>
          </w:tcPr>
          <w:p>
            <w:pPr>
              <w:spacing w:after="0" w:line="240" w:lineRule="auto"/>
            </w:pPr>
            <w:r>
              <w:rPr>
                <w:rFonts w:ascii="Times New Roman" w:hAnsi="Times New Roman"/>
                <w:sz w:val="16"/>
              </w:rPr>
              <w:t>−8,97%</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MSFT</w:t>
            </w:r>
          </w:p>
        </w:tc>
        <w:tc>
          <w:tcPr>
            <w:tcW w:type="dxa" w:w="576"/>
            <w:vAlign w:val="center"/>
            <w:tcMar>
              <w:top w:w="70" w:type="dxa"/>
              <w:start w:w="80" w:type="dxa"/>
              <w:bottom w:w="70" w:type="dxa"/>
              <w:end w:w="80" w:type="dxa"/>
            </w:tcMar>
          </w:tcPr>
          <w:p>
            <w:pPr>
              <w:spacing w:after="0" w:line="240" w:lineRule="auto"/>
            </w:pPr>
            <w:r>
              <w:rPr>
                <w:rFonts w:ascii="Times New Roman" w:hAnsi="Times New Roman"/>
                <w:sz w:val="16"/>
              </w:rPr>
              <w:t>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0,533</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0,498</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0,133</w:t>
            </w:r>
          </w:p>
        </w:tc>
        <w:tc>
          <w:tcPr>
            <w:tcW w:type="dxa" w:w="1152"/>
            <w:vAlign w:val="center"/>
            <w:tcMar>
              <w:top w:w="70" w:type="dxa"/>
              <w:start w:w="80" w:type="dxa"/>
              <w:bottom w:w="70" w:type="dxa"/>
              <w:end w:w="80" w:type="dxa"/>
            </w:tcMar>
          </w:tcPr>
          <w:p>
            <w:pPr>
              <w:spacing w:after="0" w:line="240" w:lineRule="auto"/>
            </w:pPr>
            <w:r>
              <w:rPr>
                <w:rFonts w:ascii="Times New Roman" w:hAnsi="Times New Roman"/>
                <w:sz w:val="16"/>
              </w:rPr>
              <w:t>33,26%</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3,43</w:t>
            </w:r>
          </w:p>
        </w:tc>
        <w:tc>
          <w:tcPr>
            <w:tcW w:type="dxa" w:w="1008"/>
            <w:vAlign w:val="center"/>
            <w:tcMar>
              <w:top w:w="70" w:type="dxa"/>
              <w:start w:w="80" w:type="dxa"/>
              <w:bottom w:w="70" w:type="dxa"/>
              <w:end w:w="80" w:type="dxa"/>
            </w:tcMar>
          </w:tcPr>
          <w:p>
            <w:pPr>
              <w:spacing w:after="0" w:line="240" w:lineRule="auto"/>
            </w:pPr>
            <w:r>
              <w:rPr>
                <w:rFonts w:ascii="Times New Roman" w:hAnsi="Times New Roman"/>
                <w:sz w:val="16"/>
              </w:rPr>
              <w:t>−6,52%</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NVDA</w:t>
            </w:r>
          </w:p>
        </w:tc>
        <w:tc>
          <w:tcPr>
            <w:tcW w:type="dxa" w:w="576"/>
            <w:vAlign w:val="center"/>
            <w:tcMar>
              <w:top w:w="70" w:type="dxa"/>
              <w:start w:w="80" w:type="dxa"/>
              <w:bottom w:w="70" w:type="dxa"/>
              <w:end w:w="80" w:type="dxa"/>
            </w:tcMar>
          </w:tcPr>
          <w:p>
            <w:pPr>
              <w:spacing w:after="0" w:line="240" w:lineRule="auto"/>
            </w:pPr>
            <w:r>
              <w:rPr>
                <w:rFonts w:ascii="Times New Roman" w:hAnsi="Times New Roman"/>
                <w:sz w:val="16"/>
              </w:rPr>
              <w:t>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0,433</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0,423</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−0,062</w:t>
            </w:r>
          </w:p>
        </w:tc>
        <w:tc>
          <w:tcPr>
            <w:tcW w:type="dxa" w:w="1152"/>
            <w:vAlign w:val="center"/>
            <w:tcMar>
              <w:top w:w="70" w:type="dxa"/>
              <w:start w:w="80" w:type="dxa"/>
              <w:bottom w:w="70" w:type="dxa"/>
              <w:end w:w="80" w:type="dxa"/>
            </w:tcMar>
          </w:tcPr>
          <w:p>
            <w:pPr>
              <w:spacing w:after="0" w:line="240" w:lineRule="auto"/>
            </w:pPr>
            <w:r>
              <w:rPr>
                <w:rFonts w:ascii="Times New Roman" w:hAnsi="Times New Roman"/>
                <w:sz w:val="16"/>
              </w:rPr>
              <w:t>−4,14%</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−0,31</w:t>
            </w:r>
          </w:p>
        </w:tc>
        <w:tc>
          <w:tcPr>
            <w:tcW w:type="dxa" w:w="1008"/>
            <w:vAlign w:val="center"/>
            <w:tcMar>
              <w:top w:w="70" w:type="dxa"/>
              <w:start w:w="80" w:type="dxa"/>
              <w:bottom w:w="70" w:type="dxa"/>
              <w:end w:w="80" w:type="dxa"/>
            </w:tcMar>
          </w:tcPr>
          <w:p>
            <w:pPr>
              <w:spacing w:after="0" w:line="240" w:lineRule="auto"/>
            </w:pPr>
            <w:r>
              <w:rPr>
                <w:rFonts w:ascii="Times New Roman" w:hAnsi="Times New Roman"/>
                <w:sz w:val="16"/>
              </w:rPr>
              <w:t>−12,39%</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SPX</w:t>
            </w:r>
          </w:p>
        </w:tc>
        <w:tc>
          <w:tcPr>
            <w:tcW w:type="dxa" w:w="576"/>
            <w:vAlign w:val="center"/>
            <w:tcMar>
              <w:top w:w="70" w:type="dxa"/>
              <w:start w:w="80" w:type="dxa"/>
              <w:bottom w:w="70" w:type="dxa"/>
              <w:end w:w="80" w:type="dxa"/>
            </w:tcMar>
          </w:tcPr>
          <w:p>
            <w:pPr>
              <w:spacing w:after="0" w:line="240" w:lineRule="auto"/>
            </w:pPr>
            <w:r>
              <w:rPr>
                <w:rFonts w:ascii="Times New Roman" w:hAnsi="Times New Roman"/>
                <w:sz w:val="16"/>
              </w:rPr>
              <w:t>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0,250</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0,271</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−0,019</w:t>
            </w:r>
          </w:p>
        </w:tc>
        <w:tc>
          <w:tcPr>
            <w:tcW w:type="dxa" w:w="1152"/>
            <w:vAlign w:val="center"/>
            <w:tcMar>
              <w:top w:w="70" w:type="dxa"/>
              <w:start w:w="80" w:type="dxa"/>
              <w:bottom w:w="70" w:type="dxa"/>
              <w:end w:w="80" w:type="dxa"/>
            </w:tcMar>
          </w:tcPr>
          <w:p>
            <w:pPr>
              <w:spacing w:after="0" w:line="240" w:lineRule="auto"/>
            </w:pPr>
            <w:r>
              <w:rPr>
                <w:rFonts w:ascii="Times New Roman" w:hAnsi="Times New Roman"/>
                <w:sz w:val="16"/>
              </w:rPr>
              <w:t>−3,68%</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−2,22</w:t>
            </w:r>
          </w:p>
        </w:tc>
        <w:tc>
          <w:tcPr>
            <w:tcW w:type="dxa" w:w="1008"/>
            <w:vAlign w:val="center"/>
            <w:tcMar>
              <w:top w:w="70" w:type="dxa"/>
              <w:start w:w="80" w:type="dxa"/>
              <w:bottom w:w="70" w:type="dxa"/>
              <w:end w:w="80" w:type="dxa"/>
            </w:tcMar>
          </w:tcPr>
          <w:p>
            <w:pPr>
              <w:spacing w:after="0" w:line="240" w:lineRule="auto"/>
            </w:pPr>
            <w:r>
              <w:rPr>
                <w:rFonts w:ascii="Times New Roman" w:hAnsi="Times New Roman"/>
                <w:sz w:val="16"/>
              </w:rPr>
              <w:t>−6,33%</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TSLA</w:t>
            </w:r>
          </w:p>
        </w:tc>
        <w:tc>
          <w:tcPr>
            <w:tcW w:type="dxa" w:w="576"/>
            <w:vAlign w:val="center"/>
            <w:tcMar>
              <w:top w:w="70" w:type="dxa"/>
              <w:start w:w="80" w:type="dxa"/>
              <w:bottom w:w="70" w:type="dxa"/>
              <w:end w:w="80" w:type="dxa"/>
            </w:tcMar>
          </w:tcPr>
          <w:p>
            <w:pPr>
              <w:spacing w:after="0" w:line="240" w:lineRule="auto"/>
            </w:pPr>
            <w:r>
              <w:rPr>
                <w:rFonts w:ascii="Times New Roman" w:hAnsi="Times New Roman"/>
                <w:sz w:val="16"/>
              </w:rPr>
              <w:t>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0,483</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0,489</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0,026</w:t>
            </w:r>
          </w:p>
        </w:tc>
        <w:tc>
          <w:tcPr>
            <w:tcW w:type="dxa" w:w="1152"/>
            <w:vAlign w:val="center"/>
            <w:tcMar>
              <w:top w:w="70" w:type="dxa"/>
              <w:start w:w="80" w:type="dxa"/>
              <w:bottom w:w="70" w:type="dxa"/>
              <w:end w:w="80" w:type="dxa"/>
            </w:tcMar>
          </w:tcPr>
          <w:p>
            <w:pPr>
              <w:spacing w:after="0" w:line="240" w:lineRule="auto"/>
            </w:pPr>
            <w:r>
              <w:rPr>
                <w:rFonts w:ascii="Times New Roman" w:hAnsi="Times New Roman"/>
                <w:sz w:val="16"/>
              </w:rPr>
              <w:t>1,54%</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0,36</w:t>
            </w:r>
          </w:p>
        </w:tc>
        <w:tc>
          <w:tcPr>
            <w:tcW w:type="dxa" w:w="1008"/>
            <w:vAlign w:val="center"/>
            <w:tcMar>
              <w:top w:w="70" w:type="dxa"/>
              <w:start w:w="80" w:type="dxa"/>
              <w:bottom w:w="70" w:type="dxa"/>
              <w:end w:w="80" w:type="dxa"/>
            </w:tcMar>
          </w:tcPr>
          <w:p>
            <w:pPr>
              <w:spacing w:after="0" w:line="240" w:lineRule="auto"/>
            </w:pPr>
            <w:r>
              <w:rPr>
                <w:rFonts w:ascii="Times New Roman" w:hAnsi="Times New Roman"/>
                <w:sz w:val="16"/>
              </w:rPr>
              <w:t>−21,18%</w:t>
            </w:r>
          </w:p>
        </w:tc>
      </w:tr>
      <w:tr>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Среднее (как сообщено)</w:t>
            </w:r>
          </w:p>
        </w:tc>
        <w:tc>
          <w:tcPr>
            <w:tcW w:type="dxa" w:w="576"/>
            <w:vAlign w:val="center"/>
            <w:tcMar>
              <w:top w:w="70" w:type="dxa"/>
              <w:start w:w="80" w:type="dxa"/>
              <w:bottom w:w="70" w:type="dxa"/>
              <w:end w:w="80" w:type="dxa"/>
            </w:tcMar>
          </w:tcPr>
          <w:p>
            <w:pPr>
              <w:spacing w:after="0" w:line="240" w:lineRule="auto"/>
            </w:pPr>
            <w:r>
              <w:rPr>
                <w:rFonts w:ascii="Times New Roman" w:hAnsi="Times New Roman"/>
                <w:sz w:val="16"/>
              </w:rPr>
              <w:t>360</w:t>
            </w:r>
          </w:p>
        </w:tc>
        <w:tc>
          <w:tcPr>
            <w:tcW w:type="dxa" w:w="936"/>
            <w:vAlign w:val="center"/>
            <w:tcMar>
              <w:top w:w="70" w:type="dxa"/>
              <w:start w:w="80" w:type="dxa"/>
              <w:bottom w:w="70" w:type="dxa"/>
              <w:end w:w="80" w:type="dxa"/>
            </w:tcMar>
          </w:tcPr>
          <w:p>
            <w:pPr>
              <w:spacing w:after="0" w:line="240" w:lineRule="auto"/>
            </w:pPr>
            <w:r>
              <w:rPr>
                <w:rFonts w:ascii="Times New Roman" w:hAnsi="Times New Roman"/>
                <w:sz w:val="16"/>
              </w:rPr>
              <w:t>0,408</w:t>
            </w:r>
          </w:p>
        </w:tc>
        <w:tc>
          <w:tcPr>
            <w:tcW w:type="dxa" w:w="1080"/>
            <w:vAlign w:val="center"/>
            <w:tcMar>
              <w:top w:w="70" w:type="dxa"/>
              <w:start w:w="80" w:type="dxa"/>
              <w:bottom w:w="70" w:type="dxa"/>
              <w:end w:w="80" w:type="dxa"/>
            </w:tcMar>
          </w:tcPr>
          <w:p>
            <w:pPr>
              <w:spacing w:after="0" w:line="240" w:lineRule="auto"/>
            </w:pPr>
            <w:r>
              <w:rPr>
                <w:rFonts w:ascii="Times New Roman" w:hAnsi="Times New Roman"/>
                <w:sz w:val="16"/>
              </w:rPr>
              <w:t>0,418</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0,060</w:t>
            </w:r>
          </w:p>
        </w:tc>
        <w:tc>
          <w:tcPr>
            <w:tcW w:type="dxa" w:w="1152"/>
            <w:vAlign w:val="center"/>
            <w:tcMar>
              <w:top w:w="70" w:type="dxa"/>
              <w:start w:w="80" w:type="dxa"/>
              <w:bottom w:w="70" w:type="dxa"/>
              <w:end w:w="80" w:type="dxa"/>
            </w:tcMar>
          </w:tcPr>
          <w:p>
            <w:pPr>
              <w:spacing w:after="0" w:line="240" w:lineRule="auto"/>
            </w:pPr>
            <w:r>
              <w:rPr>
                <w:rFonts w:ascii="Times New Roman" w:hAnsi="Times New Roman"/>
                <w:sz w:val="16"/>
              </w:rPr>
              <w:t>8,18%</w:t>
            </w:r>
          </w:p>
        </w:tc>
        <w:tc>
          <w:tcPr>
            <w:tcW w:type="dxa" w:w="792"/>
            <w:vAlign w:val="center"/>
            <w:tcMar>
              <w:top w:w="70" w:type="dxa"/>
              <w:start w:w="80" w:type="dxa"/>
              <w:bottom w:w="70" w:type="dxa"/>
              <w:end w:w="80" w:type="dxa"/>
            </w:tcMar>
          </w:tcPr>
          <w:p>
            <w:pPr>
              <w:spacing w:after="0" w:line="240" w:lineRule="auto"/>
            </w:pPr>
            <w:r>
              <w:rPr>
                <w:rFonts w:ascii="Times New Roman" w:hAnsi="Times New Roman"/>
                <w:sz w:val="16"/>
              </w:rPr>
              <w:t>0,59</w:t>
            </w:r>
          </w:p>
        </w:tc>
        <w:tc>
          <w:tcPr>
            <w:tcW w:type="dxa" w:w="1008"/>
            <w:vAlign w:val="center"/>
            <w:tcMar>
              <w:top w:w="70" w:type="dxa"/>
              <w:start w:w="80" w:type="dxa"/>
              <w:bottom w:w="70" w:type="dxa"/>
              <w:end w:w="80" w:type="dxa"/>
            </w:tcMar>
          </w:tcPr>
          <w:p>
            <w:pPr>
              <w:spacing w:after="0" w:line="240" w:lineRule="auto"/>
            </w:pPr>
            <w:r>
              <w:rPr>
                <w:rFonts w:ascii="Times New Roman" w:hAnsi="Times New Roman"/>
                <w:sz w:val="16"/>
              </w:rPr>
              <w:t>−10,73%</w:t>
            </w:r>
          </w:p>
        </w:tc>
      </w:tr>
    </w:tbl>
    <w:p/>
    <w:p>
      <w:r>
        <w:rPr>
          <w:i w:val="0"/>
        </w:rPr>
        <w:t>Результаты заметно различаются между инструментами. Наибольшая сообщаемая доходность получена для MSFT (33,26%) и AMZN (22,76%), тогда как NVDA и SPX показали отрицательную доходность. Наибольшая просадка в таблице наблюдается у TSLA (−21,18%). Такая неоднородность не позволяет описывать подход как одинаково эффективный на всех активах. Таблица содержит только regime-aware confidence-weighted вариант; для полного сравнения по каждому активу необходима аналогичная таблица standard retrieval.</w:t>
      </w:r>
    </w:p>
    <w:p>
      <w:pPr>
        <w:pStyle w:val="Heading2"/>
        <w:keepNext/>
      </w:pPr>
      <w:r>
        <w:t>6.3. Проверка гипотез</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008"/>
            <w:shd w:fill="D9E2F3"/>
            <w:vAlign w:val="center"/>
          </w:tcPr>
          <w:p>
            <w:pPr>
              <w:jc w:val="center"/>
            </w:pPr>
            <w:r>
              <w:rPr>
                <w:rFonts w:ascii="Times New Roman" w:hAnsi="Times New Roman"/>
                <w:b/>
                <w:sz w:val="17"/>
              </w:rPr>
              <w:t>Гипотеза</w:t>
            </w:r>
          </w:p>
        </w:tc>
        <w:tc>
          <w:tcPr>
            <w:tcW w:type="dxa" w:w="2376"/>
            <w:shd w:fill="D9E2F3"/>
            <w:vAlign w:val="center"/>
          </w:tcPr>
          <w:p>
            <w:pPr>
              <w:jc w:val="center"/>
            </w:pPr>
            <w:r>
              <w:rPr>
                <w:rFonts w:ascii="Times New Roman" w:hAnsi="Times New Roman"/>
                <w:b/>
                <w:sz w:val="17"/>
              </w:rPr>
              <w:t>Итог по текущим результатам</w:t>
            </w:r>
          </w:p>
        </w:tc>
        <w:tc>
          <w:tcPr>
            <w:tcW w:type="dxa" w:w="6624"/>
            <w:shd w:fill="D9E2F3"/>
            <w:vAlign w:val="center"/>
          </w:tcPr>
          <w:p>
            <w:pPr>
              <w:jc w:val="center"/>
            </w:pPr>
            <w:r>
              <w:rPr>
                <w:rFonts w:ascii="Times New Roman" w:hAnsi="Times New Roman"/>
                <w:b/>
                <w:sz w:val="17"/>
              </w:rPr>
              <w:t>Обоснование</w:t>
            </w:r>
          </w:p>
        </w:tc>
      </w:tr>
      <w:tr>
        <w:tc>
          <w:tcPr>
            <w:tcW w:type="dxa" w:w="1008"/>
            <w:vAlign w:val="center"/>
            <w:tcMar>
              <w:top w:w="70" w:type="dxa"/>
              <w:start w:w="80" w:type="dxa"/>
              <w:bottom w:w="70" w:type="dxa"/>
              <w:end w:w="80" w:type="dxa"/>
            </w:tcMar>
          </w:tcPr>
          <w:p>
            <w:pPr>
              <w:spacing w:after="0" w:line="240" w:lineRule="auto"/>
            </w:pPr>
            <w:r>
              <w:rPr>
                <w:rFonts w:ascii="Times New Roman" w:hAnsi="Times New Roman"/>
                <w:sz w:val="17"/>
              </w:rPr>
              <w:t>H1</w:t>
            </w:r>
          </w:p>
        </w:tc>
        <w:tc>
          <w:tcPr>
            <w:tcW w:type="dxa" w:w="2376"/>
            <w:vAlign w:val="center"/>
            <w:tcMar>
              <w:top w:w="70" w:type="dxa"/>
              <w:start w:w="80" w:type="dxa"/>
              <w:bottom w:w="70" w:type="dxa"/>
              <w:end w:w="80" w:type="dxa"/>
            </w:tcMar>
          </w:tcPr>
          <w:p>
            <w:pPr>
              <w:spacing w:after="0" w:line="240" w:lineRule="auto"/>
            </w:pPr>
            <w:r>
              <w:rPr>
                <w:rFonts w:ascii="Times New Roman" w:hAnsi="Times New Roman"/>
                <w:sz w:val="17"/>
              </w:rPr>
              <w:t>Не проверена</w:t>
            </w:r>
          </w:p>
        </w:tc>
        <w:tc>
          <w:tcPr>
            <w:tcW w:type="dxa" w:w="6624"/>
            <w:vAlign w:val="center"/>
            <w:tcMar>
              <w:top w:w="70" w:type="dxa"/>
              <w:start w:w="80" w:type="dxa"/>
              <w:bottom w:w="70" w:type="dxa"/>
              <w:end w:w="80" w:type="dxa"/>
            </w:tcMar>
          </w:tcPr>
          <w:p>
            <w:pPr>
              <w:spacing w:after="0" w:line="240" w:lineRule="auto"/>
            </w:pPr>
            <w:r>
              <w:rPr>
                <w:rFonts w:ascii="Times New Roman" w:hAnsi="Times New Roman"/>
                <w:sz w:val="17"/>
              </w:rPr>
              <w:t>Нет сопоставимого эксперимента LLM без retrieval.</w:t>
            </w:r>
          </w:p>
        </w:tc>
      </w:tr>
      <w:tr>
        <w:tc>
          <w:tcPr>
            <w:tcW w:type="dxa" w:w="1008"/>
            <w:vAlign w:val="center"/>
            <w:tcMar>
              <w:top w:w="70" w:type="dxa"/>
              <w:start w:w="80" w:type="dxa"/>
              <w:bottom w:w="70" w:type="dxa"/>
              <w:end w:w="80" w:type="dxa"/>
            </w:tcMar>
          </w:tcPr>
          <w:p>
            <w:pPr>
              <w:spacing w:after="0" w:line="240" w:lineRule="auto"/>
            </w:pPr>
            <w:r>
              <w:rPr>
                <w:rFonts w:ascii="Times New Roman" w:hAnsi="Times New Roman"/>
                <w:sz w:val="17"/>
              </w:rPr>
              <w:t>H2</w:t>
            </w:r>
          </w:p>
        </w:tc>
        <w:tc>
          <w:tcPr>
            <w:tcW w:type="dxa" w:w="2376"/>
            <w:vAlign w:val="center"/>
            <w:tcMar>
              <w:top w:w="70" w:type="dxa"/>
              <w:start w:w="80" w:type="dxa"/>
              <w:bottom w:w="70" w:type="dxa"/>
              <w:end w:w="80" w:type="dxa"/>
            </w:tcMar>
          </w:tcPr>
          <w:p>
            <w:pPr>
              <w:spacing w:after="0" w:line="240" w:lineRule="auto"/>
            </w:pPr>
            <w:r>
              <w:rPr>
                <w:rFonts w:ascii="Times New Roman" w:hAnsi="Times New Roman"/>
                <w:sz w:val="17"/>
              </w:rPr>
              <w:t>Не подтверждена текущими данными</w:t>
            </w:r>
          </w:p>
        </w:tc>
        <w:tc>
          <w:tcPr>
            <w:tcW w:type="dxa" w:w="6624"/>
            <w:vAlign w:val="center"/>
            <w:tcMar>
              <w:top w:w="70" w:type="dxa"/>
              <w:start w:w="80" w:type="dxa"/>
              <w:bottom w:w="70" w:type="dxa"/>
              <w:end w:w="80" w:type="dxa"/>
            </w:tcMar>
          </w:tcPr>
          <w:p>
            <w:pPr>
              <w:spacing w:after="0" w:line="240" w:lineRule="auto"/>
            </w:pPr>
            <w:r>
              <w:rPr>
                <w:rFonts w:ascii="Times New Roman" w:hAnsi="Times New Roman"/>
                <w:sz w:val="17"/>
              </w:rPr>
              <w:t>Accuracy практически одинаковая; MCC и сообщаемая доходность выше у regime-aware, Sharpe ниже. Нет интервалов неопределённости.</w:t>
            </w:r>
          </w:p>
        </w:tc>
      </w:tr>
      <w:tr>
        <w:tc>
          <w:tcPr>
            <w:tcW w:type="dxa" w:w="1008"/>
            <w:vAlign w:val="center"/>
            <w:tcMar>
              <w:top w:w="70" w:type="dxa"/>
              <w:start w:w="80" w:type="dxa"/>
              <w:bottom w:w="70" w:type="dxa"/>
              <w:end w:w="80" w:type="dxa"/>
            </w:tcMar>
          </w:tcPr>
          <w:p>
            <w:pPr>
              <w:spacing w:after="0" w:line="240" w:lineRule="auto"/>
            </w:pPr>
            <w:r>
              <w:rPr>
                <w:rFonts w:ascii="Times New Roman" w:hAnsi="Times New Roman"/>
                <w:sz w:val="17"/>
              </w:rPr>
              <w:t>H3</w:t>
            </w:r>
          </w:p>
        </w:tc>
        <w:tc>
          <w:tcPr>
            <w:tcW w:type="dxa" w:w="2376"/>
            <w:vAlign w:val="center"/>
            <w:tcMar>
              <w:top w:w="70" w:type="dxa"/>
              <w:start w:w="80" w:type="dxa"/>
              <w:bottom w:w="70" w:type="dxa"/>
              <w:end w:w="80" w:type="dxa"/>
            </w:tcMar>
          </w:tcPr>
          <w:p>
            <w:pPr>
              <w:spacing w:after="0" w:line="240" w:lineRule="auto"/>
            </w:pPr>
            <w:r>
              <w:rPr>
                <w:rFonts w:ascii="Times New Roman" w:hAnsi="Times New Roman"/>
                <w:sz w:val="17"/>
              </w:rPr>
              <w:t>Частичная / предварительная поддержка</w:t>
            </w:r>
          </w:p>
        </w:tc>
        <w:tc>
          <w:tcPr>
            <w:tcW w:type="dxa" w:w="6624"/>
            <w:vAlign w:val="center"/>
            <w:tcMar>
              <w:top w:w="70" w:type="dxa"/>
              <w:start w:w="80" w:type="dxa"/>
              <w:bottom w:w="70" w:type="dxa"/>
              <w:end w:w="80" w:type="dxa"/>
            </w:tcMar>
          </w:tcPr>
          <w:p>
            <w:pPr>
              <w:spacing w:after="0" w:line="240" w:lineRule="auto"/>
            </w:pPr>
            <w:r>
              <w:rPr>
                <w:rFonts w:ascii="Times New Roman" w:hAnsi="Times New Roman"/>
                <w:sz w:val="17"/>
              </w:rPr>
              <w:t>Confidence-weighted ансамбль существенно превосходит majority по сообщаемой Accuracy, но сравнение с отдельными моделями и устойчивость по окнам неполны.</w:t>
            </w:r>
          </w:p>
        </w:tc>
      </w:tr>
      <w:tr>
        <w:tc>
          <w:tcPr>
            <w:tcW w:type="dxa" w:w="1008"/>
            <w:vAlign w:val="center"/>
            <w:tcMar>
              <w:top w:w="70" w:type="dxa"/>
              <w:start w:w="80" w:type="dxa"/>
              <w:bottom w:w="70" w:type="dxa"/>
              <w:end w:w="80" w:type="dxa"/>
            </w:tcMar>
          </w:tcPr>
          <w:p>
            <w:pPr>
              <w:spacing w:after="0" w:line="240" w:lineRule="auto"/>
            </w:pPr>
            <w:r>
              <w:rPr>
                <w:rFonts w:ascii="Times New Roman" w:hAnsi="Times New Roman"/>
                <w:sz w:val="17"/>
              </w:rPr>
              <w:t>H4</w:t>
            </w:r>
          </w:p>
        </w:tc>
        <w:tc>
          <w:tcPr>
            <w:tcW w:type="dxa" w:w="2376"/>
            <w:vAlign w:val="center"/>
            <w:tcMar>
              <w:top w:w="70" w:type="dxa"/>
              <w:start w:w="80" w:type="dxa"/>
              <w:bottom w:w="70" w:type="dxa"/>
              <w:end w:w="80" w:type="dxa"/>
            </w:tcMar>
          </w:tcPr>
          <w:p>
            <w:pPr>
              <w:spacing w:after="0" w:line="240" w:lineRule="auto"/>
            </w:pPr>
            <w:r>
              <w:rPr>
                <w:rFonts w:ascii="Times New Roman" w:hAnsi="Times New Roman"/>
                <w:sz w:val="17"/>
              </w:rPr>
              <w:t>Не проверена</w:t>
            </w:r>
          </w:p>
        </w:tc>
        <w:tc>
          <w:tcPr>
            <w:tcW w:type="dxa" w:w="6624"/>
            <w:vAlign w:val="center"/>
            <w:tcMar>
              <w:top w:w="70" w:type="dxa"/>
              <w:start w:w="80" w:type="dxa"/>
              <w:bottom w:w="70" w:type="dxa"/>
              <w:end w:w="80" w:type="dxa"/>
            </w:tcMar>
          </w:tcPr>
          <w:p>
            <w:pPr>
              <w:spacing w:after="0" w:line="240" w:lineRule="auto"/>
            </w:pPr>
            <w:r>
              <w:rPr>
                <w:rFonts w:ascii="Times New Roman" w:hAnsi="Times New Roman"/>
                <w:sz w:val="17"/>
              </w:rPr>
              <w:t>Режимно-зависимые веса не реализованы в представленном прогоне.</w:t>
            </w:r>
          </w:p>
        </w:tc>
      </w:tr>
    </w:tbl>
    <w:p/>
    <w:p>
      <w:pPr>
        <w:pStyle w:val="Heading1"/>
        <w:keepNext/>
      </w:pPr>
      <w:r>
        <w:t>7. Обсуждение</w:t>
      </w:r>
    </w:p>
    <w:p>
      <w:r>
        <w:rPr>
          <w:i w:val="0"/>
        </w:rPr>
        <w:t>Главный результат пилотного эксперимента — не доказательство преимущества режимной фильтрации, а отсутствие однозначного лидера по всем метрикам. В режимно-зависимом варианте Accuracy почти не изменилась, MCC и сообщаемая средняя доходность выросли, но Sharpe снизился. Это подчёркивает необходимость раздельно оценивать классификационное качество и торговую эффективность. Сам по себе рост доходности на коротком отрезке не является доказательством устойчивой прибыльности.</w:t>
      </w:r>
    </w:p>
    <w:p>
      <w:r>
        <w:rPr>
          <w:i w:val="0"/>
        </w:rPr>
        <w:t>Сильная неоднородность по активам также важна: положительные результаты MSFT и AMZN соседствуют с отрицательными результатами NVDA и SPX. При выборке из 60 дней на актив отдельные экстремальные движения могут существенно влиять на накопленную доходность и Sharpe. Нельзя переносить эти результаты на другие периоды или считать их оценкой будущей доходности.</w:t>
      </w:r>
    </w:p>
    <w:p>
      <w:pPr>
        <w:pStyle w:val="Heading1"/>
        <w:keepNext/>
      </w:pPr>
      <w:r>
        <w:t>8. Ограничения и угрозы валидности</w:t>
      </w:r>
    </w:p>
    <w:p>
      <w:pPr>
        <w:pStyle w:val="ListBullet"/>
      </w:pPr>
      <w:r>
        <w:rPr>
          <w:i w:val="0"/>
        </w:rPr>
        <w:t>Короткий тестовый интервал: 60 торговых дней на актив; устойчивость между рыночными фазами не оценивалась.</w:t>
      </w:r>
    </w:p>
    <w:p>
      <w:pPr>
        <w:pStyle w:val="ListBullet"/>
      </w:pPr>
      <w:r>
        <w:rPr>
          <w:i w:val="0"/>
        </w:rPr>
        <w:t>Неполная матрица экспериментов: отсутствуют E1 (baseline), E2 (LLM без retrieval) и E6 (режимно-зависимые веса).</w:t>
      </w:r>
    </w:p>
    <w:p>
      <w:pPr>
        <w:pStyle w:val="ListBullet"/>
      </w:pPr>
      <w:r>
        <w:rPr>
          <w:i w:val="0"/>
        </w:rPr>
        <w:t>Не представлены интервалы неопределённости, блочный бутстрэп, статистические тесты и многократная walk-forward-проверка.</w:t>
      </w:r>
    </w:p>
    <w:p>
      <w:pPr>
        <w:pStyle w:val="ListBullet"/>
      </w:pPr>
      <w:r>
        <w:rPr>
          <w:i w:val="0"/>
        </w:rPr>
        <w:t>В части вызовов Gemini использовался посредник AnyModel, что снижает воспроизводимость версии/маршрутизации модели.</w:t>
      </w:r>
    </w:p>
    <w:p>
      <w:pPr>
        <w:pStyle w:val="ListBullet"/>
      </w:pPr>
      <w:r>
        <w:rPr>
          <w:i w:val="0"/>
        </w:rPr>
        <w:t>Причинность трёхдневного сглаживания режимов должна быть подтверждена; иначе возможно использование информации из будущего.</w:t>
      </w:r>
    </w:p>
    <w:p>
      <w:pPr>
        <w:pStyle w:val="ListBullet"/>
      </w:pPr>
      <w:r>
        <w:rPr>
          <w:i w:val="0"/>
        </w:rPr>
        <w:t>Момент исполнения сделки описан недостаточно строго: использование Close(t) одновременно для формирования сигнала и исполнения может создавать смещение.</w:t>
      </w:r>
    </w:p>
    <w:p>
      <w:pPr>
        <w:pStyle w:val="ListBullet"/>
      </w:pPr>
      <w:r>
        <w:rPr>
          <w:i w:val="0"/>
        </w:rPr>
        <w:t>Параметры комиссий и проскальзывания, правила обработки HOLD и способ агрегирования торговых метрик для основного шестиактивного прогона требуют явной фиксации.</w:t>
      </w:r>
    </w:p>
    <w:p>
      <w:pPr>
        <w:pStyle w:val="ListBullet"/>
      </w:pPr>
      <w:r>
        <w:t>Публичный репозиторий содержит загрузчик данных и расчёт признаков, но не весь код, необходимый для независимого воспроизведения режима, retrieval, LLM, ансамбля и бэктеста; README в просмотренной версии содержит незавершённые маркеры слияния. Дополнительно, в features.py последний день каждого тикера может получить ошибочную метку target=0 при отсутствии следующего Close. До окончательного воспроизводимого прогона нужно исправить разметку последней строки, пересобрать датасет и проверить, что тестовые метки и опубликованные метрики рассчитаны на корректной версии данных.</w:t>
      </w:r>
    </w:p>
    <w:p>
      <w:r>
        <w:rPr>
          <w:i w:val="0"/>
        </w:rPr>
        <w:t>В связи с перечисленными ограничениями результаты следует трактовать как пилотные. Они пригодны для выбора следующих экспериментов и проверки целостности пайплайна, но недостаточны для заявления о статистически значимом или инвестиционно применимом преимуществе.</w:t>
      </w:r>
    </w:p>
    <w:p>
      <w:pPr>
        <w:pStyle w:val="Heading1"/>
        <w:keepNext/>
      </w:pPr>
      <w:r>
        <w:t>9. Заключение</w:t>
      </w:r>
    </w:p>
    <w:p>
      <w:r>
        <w:rPr>
          <w:i w:val="0"/>
        </w:rPr>
        <w:t>В работе описан и частично проверен подход к прогнозированию направления финансовых активов, объединяющий режимно-зависимый retrieval исторических аналогов и ансамбль двух LLM. На шести активах и 60 торговых днях confidence-weighted ансамбль показал Accuracy 0,411 при обычном retrieval и 0,408 при regime-aware retrieval; Balanced Accuracy составила 0,418 в обоих случаях. Режимно-зависимый вариант имел более высокий MCC (0,060 против 0,027) и сообщаемую среднюю доходность (8,18% против 3,53%), но более низкий Sharpe (0,59 против 0,70).</w:t>
      </w:r>
    </w:p>
    <w:p>
      <w:r>
        <w:rPr>
          <w:i w:val="0"/>
        </w:rPr>
        <w:t>Таким образом, H2 не получила однозначной поддержки: наблюдаемые различия неоднозначны и не подкреплены оценкой статистической неопределённости. H3 получила лишь предварительную частичную поддержку, связанную с различием между confidence-weighted и majority voting; H1 и H4 остаются непроверенными. Для завершения эмпирической проверки необходимы: (1) baseline и LLM без retrieval; (2) единые результаты по каждому активу для обеих стратегий retrieval; (3) причинное определение режимов и реалистичное время исполнения; (4) walk-forward по нескольким окнам с доверительными интервалами; (5) фиксация комиссий, проскальзывания, правил HOLD и агрегации метрик; (6) публикация полного кода и конфигураций эксперимента.</w:t>
      </w:r>
    </w:p>
    <w:p>
      <w:r>
        <w:rPr>
          <w:i w:val="0"/>
        </w:rPr>
        <w:t>Итоговый вывод ограничен доступным пилотным прогоном: предложенная комбинация заслуживает дальнейшей проверки, но имеющихся данных недостаточно, чтобы заключить, что режимно-зависимый retrieval или ансамбль LLM устойчиво улучшают прогнозирование или обеспечивают торговое преимущество.</w:t>
      </w:r>
    </w:p>
    <w:p>
      <w:pPr>
        <w:pStyle w:val="Heading1"/>
        <w:keepNext/>
      </w:pPr>
      <w:r>
        <w:t>Доступность данных и кода</w:t>
      </w:r>
    </w:p>
    <w:p>
      <w:r>
        <w:rPr>
          <w:i w:val="0"/>
        </w:rPr>
        <w:t>Репозиторий проекта: https://github.com/sashakarlin2000-ui/article_12. В опубликованной версии доступны README.md, data_loader.py, features.py, market_data.csv, requirements.txt и полный план исследования. Для воспроизводимости результатов необходимо дополнить репозиторий кодом режимного детектора, retrieval, LLM inference, ансамбля и backtest, а также конфигурациями, сырыми ответами моделей и автоматической сборкой таблиц.</w:t>
      </w:r>
    </w:p>
    <w:p>
      <w:pPr>
        <w:pStyle w:val="Heading1"/>
        <w:keepNext/>
      </w:pPr>
      <w:r>
        <w:t>Список литературы</w:t>
      </w:r>
    </w:p>
    <w:p>
      <w:pPr>
        <w:spacing w:after="80"/>
        <w:ind w:left="317" w:hanging="317"/>
      </w:pPr>
      <w:r>
        <w:t>[1] Haase F., Neuenkirch M. Predictability of bull and bear markets: A new look at forecasting stock market regimes (and returns) in the US. International Journal of Forecasting. 2023. Vol. 39, No. 2. P. 587–605. DOI: 10.1016/j.ijforecast.2022.01.004.</w:t>
      </w:r>
    </w:p>
    <w:p>
      <w:pPr>
        <w:spacing w:after="80"/>
        <w:ind w:left="317" w:hanging="317"/>
      </w:pPr>
      <w:r>
        <w:t>[2] Kirby C. A closer look at the regime-switching evidence of bull and bear markets. Finance Research Letters. 2023. Vol. 52. Article 103369. DOI: 10.1016/j.frl.2022.103369.</w:t>
      </w:r>
    </w:p>
    <w:p>
      <w:pPr>
        <w:spacing w:after="80"/>
        <w:ind w:left="317" w:hanging="317"/>
      </w:pPr>
      <w:r>
        <w:t>[3] Yang H., Liu X.-Y., Wang C. D. FinGPT: Open-Source Financial Large Language Models. arXiv:2306.06031. 2023. https://arxiv.org/abs/2306.06031.</w:t>
      </w:r>
    </w:p>
    <w:p>
      <w:pPr>
        <w:spacing w:after="80"/>
        <w:ind w:left="317" w:hanging="317"/>
      </w:pPr>
      <w:r>
        <w:t>[4] Mai D. StockGPT: A GenAI Model for Stock Prediction and Trading. arXiv:2404.05101. 2024. https://arxiv.org/abs/2404.05101.</w:t>
      </w:r>
    </w:p>
    <w:p>
      <w:pPr>
        <w:spacing w:after="80"/>
        <w:ind w:left="317" w:hanging="317"/>
      </w:pPr>
      <w:r>
        <w:t>[5] Han S., Lee S., Cha M., Arik S. O., Yoon J. Retrieval Augmented Time Series Forecasting. Proceedings of the 42nd International Conference on Machine Learning. Proceedings of Machine Learning Research. 2025. Vol. 267. P. 21774–21797. https://proceedings.mlr.press/v267/han25d.html.</w:t>
      </w:r>
    </w:p>
    <w:p>
      <w:pPr>
        <w:spacing w:after="80"/>
        <w:ind w:left="317" w:hanging="317"/>
      </w:pPr>
      <w:r>
        <w:t>[6] Xiao M. et al. Enhancing Financial Time-Series Forecasting with Retrieval-Augmented Large Language Models. arXiv:2502.05878. 2025. https://arxiv.org/abs/2502.05878.</w:t>
      </w:r>
    </w:p>
    <w:p>
      <w:pPr>
        <w:spacing w:after="80"/>
        <w:ind w:left="317" w:hanging="317"/>
      </w:pPr>
      <w:r>
        <w:t>[7] Lewis P. et al. Retrieval-Augmented Generation for Knowledge-Intensive NLP Tasks. Advances in Neural Information Processing Systems. 2020. Vol. 33. https://arxiv.org/abs/2005.11401.</w:t>
      </w:r>
    </w:p>
    <w:p>
      <w:pPr>
        <w:spacing w:after="80"/>
        <w:ind w:left="317" w:hanging="317"/>
      </w:pPr>
      <w:r>
        <w:t>[8] Репозиторий исследования: article_12. Скрипты data_loader.py и features.py, набор market_data.csv и глобальный план исследования. https://github.com/sashakarlin2000-ui/article_12 (дата обращения: 29.10.2026).</w:t>
      </w:r>
    </w:p>
    <w:sectPr w:rsidR="00FC693F" w:rsidRPr="0006063C" w:rsidSect="00034616">
      <w:footerReference w:type="default" r:id="rId9"/>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Прогнозирование фондового рынка с помощью LLM и исторического поиска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eastAsia="Times New Roman"/>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Прогнозирование фондового рынка с помощью LLM, рыночных режимов и поиска исторических аналогов</dc:title>
  <dc:subject>Пилотное эмпирическое исследование</dc:subject>
  <dc:creator>Видякин Михаил; Егоров Михаил; Ибраев Тимур; Карлин Александр; Федорович Дмитрий</dc:creator>
  <cp:keywords>LLM, market regimes, retrieval, stock forecasting, ensemble</cp:keywords>
  <dc:description>generated by python-docx</dc:description>
  <cp:lastModifiedBy/>
  <cp:revision>1</cp:revision>
  <dcterms:created xsi:type="dcterms:W3CDTF">2013-12-23T23:15:00Z</dcterms:created>
  <dcterms:modified xsi:type="dcterms:W3CDTF">2013-12-23T23:15:00Z</dcterms:modified>
  <cp:category/>
</cp:coreProperties>
</file>