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jc w:val="center"/>
      </w:pPr>
      <w:r>
        <w:rPr>
          <w:rFonts w:ascii="Times New Roman" w:hAnsi="Times New Roman"/>
          <w:b/>
          <w:i w:val="0"/>
          <w:color w:val="000000"/>
          <w:sz w:val="32"/>
        </w:rPr>
        <w:t>IMPLEMENTATION AND EVALUATION OF OPENTELEMETRY IN THE AI-BASED VILLAGE POND PLANNING SYSTEM</w:t>
      </w:r>
    </w:p>
    <w:p>
      <w:pPr>
        <w:spacing w:after="280" w:line="276" w:lineRule="auto"/>
        <w:jc w:val="center"/>
      </w:pPr>
      <w:r>
        <w:rPr>
          <w:rFonts w:ascii="Times New Roman" w:hAnsi="Times New Roman"/>
          <w:b w:val="0"/>
          <w:i/>
          <w:color w:val="000000"/>
          <w:sz w:val="22"/>
        </w:rPr>
        <w:t>Laboratory Technical Report: Practical Observability Engineering via Distributed Tracing, Real-Time Prometheus Metrics, and Trace-Correlated Structured Logging</w:t>
      </w:r>
    </w:p>
    <w:tbl>
      <w:tblPr>
        <w:tblW w:type="auto" w:w="0"/>
        <w:jc w:val="center"/>
        <w:tblLayout w:type="fixed"/>
        <w:tblLook w:firstColumn="1" w:firstRow="1" w:lastColumn="0" w:lastRow="0" w:noHBand="0" w:noVBand="1" w:val="04A0"/>
      </w:tblPr>
      <w:tblGrid>
        <w:gridCol w:w="4680"/>
        <w:gridCol w:w="4680"/>
      </w:tblGrid>
      <w:tr>
        <w:tc>
          <w:tcPr>
            <w:tcW w:type="dxa" w:w="3312"/>
            <w:tcBorders>
              <w:top w:val="single" w:sz="4" w:space="0" w:color="000000"/>
              <w:left w:val="none"/>
              <w:bottom w:val="single" w:sz="4" w:space="0" w:color="000000"/>
              <w:right w:val="none"/>
            </w:tcBorders>
          </w:tcPr>
          <w:p>
            <w:pPr>
              <w:spacing w:after="40"/>
            </w:pPr>
            <w:r>
              <w:rPr>
                <w:rFonts w:ascii="Times New Roman" w:hAnsi="Times New Roman"/>
                <w:b/>
                <w:color w:val="000000"/>
                <w:sz w:val="20"/>
              </w:rPr>
              <w:t>Student Name:</w:t>
            </w:r>
          </w:p>
        </w:tc>
        <w:tc>
          <w:tcPr>
            <w:tcW w:type="dxa" w:w="6048"/>
            <w:tcBorders>
              <w:top w:val="single" w:sz="4" w:space="0" w:color="000000"/>
              <w:left w:val="none"/>
              <w:bottom w:val="single" w:sz="4" w:space="0" w:color="000000"/>
              <w:right w:val="none"/>
            </w:tcBorders>
          </w:tcPr>
          <w:p>
            <w:pPr>
              <w:spacing w:after="40"/>
            </w:pPr>
            <w:r>
              <w:rPr>
                <w:rFonts w:ascii="Times New Roman" w:hAnsi="Times New Roman"/>
                <w:color w:val="000000"/>
                <w:sz w:val="20"/>
              </w:rPr>
              <w:t>Lekkala Sashank</w:t>
            </w:r>
          </w:p>
        </w:tc>
      </w:tr>
      <w:tr>
        <w:tc>
          <w:tcPr>
            <w:tcW w:type="dxa" w:w="3312"/>
            <w:tcBorders>
              <w:top w:val="single" w:sz="4" w:space="0" w:color="000000"/>
              <w:left w:val="none"/>
              <w:bottom w:val="single" w:sz="4" w:space="0" w:color="000000"/>
              <w:right w:val="none"/>
            </w:tcBorders>
          </w:tcPr>
          <w:p>
            <w:pPr>
              <w:spacing w:after="40"/>
            </w:pPr>
            <w:r>
              <w:rPr>
                <w:rFonts w:ascii="Times New Roman" w:hAnsi="Times New Roman"/>
                <w:b/>
                <w:color w:val="000000"/>
                <w:sz w:val="20"/>
              </w:rPr>
              <w:t>Student ID / Roll Number:</w:t>
            </w:r>
          </w:p>
        </w:tc>
        <w:tc>
          <w:tcPr>
            <w:tcW w:type="dxa" w:w="6048"/>
            <w:tcBorders>
              <w:top w:val="single" w:sz="4" w:space="0" w:color="000000"/>
              <w:left w:val="none"/>
              <w:bottom w:val="single" w:sz="4" w:space="0" w:color="000000"/>
              <w:right w:val="none"/>
            </w:tcBorders>
          </w:tcPr>
          <w:p>
            <w:pPr>
              <w:spacing w:after="40"/>
            </w:pPr>
            <w:r>
              <w:rPr>
                <w:rFonts w:ascii="Times New Roman" w:hAnsi="Times New Roman"/>
                <w:color w:val="000000"/>
                <w:sz w:val="20"/>
              </w:rPr>
              <w:t>12341330</w:t>
            </w:r>
          </w:p>
        </w:tc>
      </w:tr>
      <w:tr>
        <w:tc>
          <w:tcPr>
            <w:tcW w:type="dxa" w:w="3312"/>
            <w:tcBorders>
              <w:top w:val="single" w:sz="4" w:space="0" w:color="000000"/>
              <w:left w:val="none"/>
              <w:bottom w:val="single" w:sz="4" w:space="0" w:color="000000"/>
              <w:right w:val="none"/>
            </w:tcBorders>
          </w:tcPr>
          <w:p>
            <w:pPr>
              <w:spacing w:after="40"/>
            </w:pPr>
            <w:r>
              <w:rPr>
                <w:rFonts w:ascii="Times New Roman" w:hAnsi="Times New Roman"/>
                <w:b/>
                <w:color w:val="000000"/>
                <w:sz w:val="20"/>
              </w:rPr>
              <w:t>Institution &amp; Department:</w:t>
            </w:r>
          </w:p>
        </w:tc>
        <w:tc>
          <w:tcPr>
            <w:tcW w:type="dxa" w:w="6048"/>
            <w:tcBorders>
              <w:top w:val="single" w:sz="4" w:space="0" w:color="000000"/>
              <w:left w:val="none"/>
              <w:bottom w:val="single" w:sz="4" w:space="0" w:color="000000"/>
              <w:right w:val="none"/>
            </w:tcBorders>
          </w:tcPr>
          <w:p>
            <w:pPr>
              <w:spacing w:after="40"/>
            </w:pPr>
            <w:r>
              <w:rPr>
                <w:rFonts w:ascii="Times New Roman" w:hAnsi="Times New Roman"/>
                <w:color w:val="000000"/>
                <w:sz w:val="20"/>
              </w:rPr>
              <w:t>Department of Computer Science and Engineering, IIT Tirupati</w:t>
            </w:r>
          </w:p>
        </w:tc>
      </w:tr>
      <w:tr>
        <w:tc>
          <w:tcPr>
            <w:tcW w:type="dxa" w:w="3312"/>
            <w:tcBorders>
              <w:top w:val="single" w:sz="4" w:space="0" w:color="000000"/>
              <w:left w:val="none"/>
              <w:bottom w:val="single" w:sz="4" w:space="0" w:color="000000"/>
              <w:right w:val="none"/>
            </w:tcBorders>
          </w:tcPr>
          <w:p>
            <w:pPr>
              <w:spacing w:after="40"/>
            </w:pPr>
            <w:r>
              <w:rPr>
                <w:rFonts w:ascii="Times New Roman" w:hAnsi="Times New Roman"/>
                <w:b/>
                <w:color w:val="000000"/>
                <w:sz w:val="20"/>
              </w:rPr>
              <w:t>Course &amp; Project:</w:t>
            </w:r>
          </w:p>
        </w:tc>
        <w:tc>
          <w:tcPr>
            <w:tcW w:type="dxa" w:w="6048"/>
            <w:tcBorders>
              <w:top w:val="single" w:sz="4" w:space="0" w:color="000000"/>
              <w:left w:val="none"/>
              <w:bottom w:val="single" w:sz="4" w:space="0" w:color="000000"/>
              <w:right w:val="none"/>
            </w:tcBorders>
          </w:tcPr>
          <w:p>
            <w:pPr>
              <w:spacing w:after="40"/>
            </w:pPr>
            <w:r>
              <w:rPr>
                <w:rFonts w:ascii="Times New Roman" w:hAnsi="Times New Roman"/>
                <w:color w:val="000000"/>
                <w:sz w:val="20"/>
              </w:rPr>
              <w:t>Cloud &amp; Distributed Systems (CSD) — AI-based Village Pond Planning System</w:t>
            </w:r>
          </w:p>
        </w:tc>
      </w:tr>
      <w:tr>
        <w:tc>
          <w:tcPr>
            <w:tcW w:type="dxa" w:w="3312"/>
            <w:tcBorders>
              <w:top w:val="single" w:sz="4" w:space="0" w:color="000000"/>
              <w:left w:val="none"/>
              <w:bottom w:val="single" w:sz="4" w:space="0" w:color="000000"/>
              <w:right w:val="none"/>
            </w:tcBorders>
          </w:tcPr>
          <w:p>
            <w:pPr>
              <w:spacing w:after="40"/>
            </w:pPr>
            <w:r>
              <w:rPr>
                <w:rFonts w:ascii="Times New Roman" w:hAnsi="Times New Roman"/>
                <w:b/>
                <w:color w:val="000000"/>
                <w:sz w:val="20"/>
              </w:rPr>
              <w:t>Deployment Target Environment:</w:t>
            </w:r>
          </w:p>
        </w:tc>
        <w:tc>
          <w:tcPr>
            <w:tcW w:type="dxa" w:w="6048"/>
            <w:tcBorders>
              <w:top w:val="single" w:sz="4" w:space="0" w:color="000000"/>
              <w:left w:val="none"/>
              <w:bottom w:val="single" w:sz="4" w:space="0" w:color="000000"/>
              <w:right w:val="none"/>
            </w:tcBorders>
          </w:tcPr>
          <w:p>
            <w:pPr>
              <w:spacing w:after="40"/>
            </w:pPr>
            <w:r>
              <w:rPr>
                <w:rFonts w:ascii="Times New Roman" w:hAnsi="Times New Roman"/>
                <w:color w:val="000000"/>
                <w:sz w:val="20"/>
              </w:rPr>
              <w:t>Linux Ubuntu Container stu3_sys1 (Host: 10.1.75.51, SSH Port: 2209)</w:t>
            </w:r>
          </w:p>
        </w:tc>
      </w:tr>
      <w:tr>
        <w:tc>
          <w:tcPr>
            <w:tcW w:type="dxa" w:w="3312"/>
            <w:tcBorders>
              <w:top w:val="single" w:sz="4" w:space="0" w:color="000000"/>
              <w:left w:val="none"/>
              <w:bottom w:val="single" w:sz="4" w:space="0" w:color="000000"/>
              <w:right w:val="none"/>
            </w:tcBorders>
          </w:tcPr>
          <w:p>
            <w:pPr>
              <w:spacing w:after="40"/>
            </w:pPr>
            <w:r>
              <w:rPr>
                <w:rFonts w:ascii="Times New Roman" w:hAnsi="Times New Roman"/>
                <w:b/>
                <w:color w:val="000000"/>
                <w:sz w:val="20"/>
              </w:rPr>
              <w:t>Active Service Endpoints:</w:t>
            </w:r>
          </w:p>
        </w:tc>
        <w:tc>
          <w:tcPr>
            <w:tcW w:type="dxa" w:w="6048"/>
            <w:tcBorders>
              <w:top w:val="single" w:sz="4" w:space="0" w:color="000000"/>
              <w:left w:val="none"/>
              <w:bottom w:val="single" w:sz="4" w:space="0" w:color="000000"/>
              <w:right w:val="none"/>
            </w:tcBorders>
          </w:tcPr>
          <w:p>
            <w:pPr>
              <w:spacing w:after="40"/>
            </w:pPr>
            <w:r>
              <w:rPr>
                <w:rFonts w:ascii="Times New Roman" w:hAnsi="Times New Roman"/>
                <w:color w:val="000000"/>
                <w:sz w:val="20"/>
              </w:rPr>
              <w:t>Backend API: :3209 | Frontend UI: :4209 | Telemetry Dashboard: :3209/telemetry</w:t>
            </w:r>
          </w:p>
        </w:tc>
      </w:tr>
    </w:tbl>
    <w:p>
      <w:pPr>
        <w:spacing w:after="240"/>
      </w:pPr>
    </w:p>
    <w:p>
      <w:pPr>
        <w:keepNext/>
        <w:spacing w:before="280" w:after="120"/>
      </w:pPr>
      <w:r>
        <w:rPr>
          <w:rFonts w:ascii="Times New Roman" w:hAnsi="Times New Roman"/>
          <w:b/>
          <w:color w:val="000000"/>
          <w:sz w:val="28"/>
        </w:rPr>
        <w:t>1. Executive Summary &amp; Objective</w:t>
      </w:r>
    </w:p>
    <w:p>
      <w:pPr>
        <w:spacing w:after="120" w:line="276" w:lineRule="auto"/>
        <w:jc w:val="left"/>
      </w:pPr>
      <w:r>
        <w:rPr>
          <w:rFonts w:ascii="Times New Roman" w:hAnsi="Times New Roman"/>
          <w:b w:val="0"/>
          <w:i w:val="0"/>
          <w:color w:val="000000"/>
          <w:sz w:val="22"/>
        </w:rPr>
        <w:t>Modern cloud-native and distributed backends demand rigorous observability to diagnose transient latency spikes, detect resource contention, and understand execution characteristics across multi-tier pipelines. In Assignment 1, we engineered and deployed the core AI-based Village Pond Planning System—a high-performance, lightweight geospatial hydrology service that accepts raw contour files (KML/KMZ), reconstructs a continuous Digital Elevation Model (DEM), performs D8 hydrological flow routing, identifies optimal earthen pond sites, and delineates upstream catchment watersheds. While functionally robust, the initial deployment lacked unified instrumentation, relying on traditional print statements and coarse HTTP status codes that proved insufficient for diagnosing runtime behavior during live technical evaluation.</w:t>
      </w:r>
    </w:p>
    <w:p>
      <w:pPr>
        <w:spacing w:after="120" w:line="276" w:lineRule="auto"/>
        <w:jc w:val="left"/>
      </w:pPr>
      <w:r>
        <w:rPr>
          <w:rFonts w:ascii="Times New Roman" w:hAnsi="Times New Roman"/>
          <w:b w:val="0"/>
          <w:i w:val="0"/>
          <w:color w:val="000000"/>
          <w:sz w:val="22"/>
        </w:rPr>
        <w:t>The objective of this assignment is to systematically instrument our running Assignment 1 project with OpenTelemetry (OTel)—the industry-standard, vendor-neutral observability framework. Rather than introducing superficial or synthetic telemetry, we implemented comprehensive coverage across all three core observability pillars: distributed traces, real-time application metrics, and context-injected structured logs. The instrumented system is permanently deployed in student container stu3_sys1 on host 10.1.75.51, managed under an endless supervisor loop that guarantees continuous availability. This report documents the technical implementation, architectural decisions, and empirical data collected from our running system.</w:t>
      </w:r>
    </w:p>
    <w:p>
      <w:pPr>
        <w:keepNext/>
        <w:spacing w:before="280" w:after="120"/>
      </w:pPr>
      <w:r>
        <w:rPr>
          <w:rFonts w:ascii="Times New Roman" w:hAnsi="Times New Roman"/>
          <w:b/>
          <w:color w:val="000000"/>
          <w:sz w:val="28"/>
        </w:rPr>
        <w:t>2. System Architecture &amp; Deployment Topology</w:t>
      </w:r>
    </w:p>
    <w:p>
      <w:pPr>
        <w:spacing w:after="120" w:line="276" w:lineRule="auto"/>
        <w:jc w:val="left"/>
      </w:pPr>
      <w:r>
        <w:rPr>
          <w:rFonts w:ascii="Times New Roman" w:hAnsi="Times New Roman"/>
          <w:b w:val="0"/>
          <w:i w:val="0"/>
          <w:color w:val="000000"/>
          <w:sz w:val="22"/>
        </w:rPr>
        <w:t>The application is hosted inside an isolated Linux container (stu3_sys1) within the university's container cluster at IP 10.1.75.51. In accordance with laboratory network provisioning, student 3 was allocated external port ranges with mapped inbound interfaces. To ensure clear separation of concerns while respecting these network constraints, the architecture is structured as a multi-tier service model:</w:t>
      </w:r>
    </w:p>
    <w:p>
      <w:pPr>
        <w:pStyle w:val="ListBullet"/>
        <w:spacing w:after="60" w:line="276" w:lineRule="auto"/>
      </w:pPr>
      <w:r>
        <w:rPr>
          <w:rFonts w:ascii="Times New Roman" w:hAnsi="Times New Roman"/>
          <w:b/>
          <w:color w:val="000000"/>
          <w:sz w:val="22"/>
        </w:rPr>
        <w:t xml:space="preserve">FastAPI Hydrology Backend (Internal Port 3000 -&gt; External Port 3209): </w:t>
      </w:r>
      <w:r>
        <w:rPr>
          <w:rFonts w:ascii="Times New Roman" w:hAnsi="Times New Roman"/>
          <w:color w:val="000000"/>
          <w:sz w:val="22"/>
        </w:rPr>
        <w:t>Executes the computational pipeline, handling KML parsing, UTM coordinate reprojection, Delaunay DEM interpolation, priority-flood depression filling, flow accumulation, and GeoJSON polygon generation. Exposes REST endpoints at /analyzeContour, Prometheus metrics at /metrics, and the native OpenTelemetry dashboard at /telemetry.</w:t>
      </w:r>
    </w:p>
    <w:p>
      <w:pPr>
        <w:pStyle w:val="ListBullet"/>
        <w:spacing w:after="60" w:line="276" w:lineRule="auto"/>
      </w:pPr>
      <w:r>
        <w:rPr>
          <w:rFonts w:ascii="Times New Roman" w:hAnsi="Times New Roman"/>
          <w:b/>
          <w:color w:val="000000"/>
          <w:sz w:val="22"/>
        </w:rPr>
        <w:t xml:space="preserve">Interactive GIS Web Interface (Internal Port 4000 -&gt; External Port 4209): </w:t>
      </w:r>
      <w:r>
        <w:rPr>
          <w:rFonts w:ascii="Times New Roman" w:hAnsi="Times New Roman"/>
          <w:color w:val="000000"/>
          <w:sz w:val="22"/>
        </w:rPr>
        <w:t>A lightweight Leaflet.js map client that allows users to upload contour files, specify target pond parameters, visualize the delineated catchment boundary, inspect pond site coordinates, and navigate directly to the backend telemetry views.</w:t>
      </w:r>
    </w:p>
    <w:p>
      <w:pPr>
        <w:pStyle w:val="ListBullet"/>
        <w:spacing w:after="60" w:line="276" w:lineRule="auto"/>
      </w:pPr>
      <w:r>
        <w:rPr>
          <w:rFonts w:ascii="Times New Roman" w:hAnsi="Times New Roman"/>
          <w:b/>
          <w:color w:val="000000"/>
          <w:sz w:val="22"/>
        </w:rPr>
        <w:t xml:space="preserve">High-Performance TCP Bridge (port_bridge.py): </w:t>
      </w:r>
      <w:r>
        <w:rPr>
          <w:rFonts w:ascii="Times New Roman" w:hAnsi="Times New Roman"/>
          <w:color w:val="000000"/>
          <w:sz w:val="22"/>
        </w:rPr>
        <w:t>A multi-threaded socket forwarder listening on container interfaces 0.0.0.0:3209 and 0.0.0.0:4209, mapping inbound external traffic to internal loopback service ports (127.0.0.1:3000 and 127.0.0.1:4000).</w:t>
      </w:r>
    </w:p>
    <w:p>
      <w:pPr>
        <w:pStyle w:val="ListBullet"/>
        <w:spacing w:after="60" w:line="276" w:lineRule="auto"/>
      </w:pPr>
      <w:r>
        <w:rPr>
          <w:rFonts w:ascii="Times New Roman" w:hAnsi="Times New Roman"/>
          <w:b/>
          <w:color w:val="000000"/>
          <w:sz w:val="22"/>
        </w:rPr>
        <w:t xml:space="preserve">Endless Supervisor Daemon (runner.sh): </w:t>
      </w:r>
      <w:r>
        <w:rPr>
          <w:rFonts w:ascii="Times New Roman" w:hAnsi="Times New Roman"/>
          <w:color w:val="000000"/>
          <w:sz w:val="22"/>
        </w:rPr>
        <w:t>A background process watcher that polls service state via ss -tulpn every 5 seconds. If either Uvicorn or the Python HTTP server terminates, the supervisor automatically restarts them and logs incident timestamps to supervisor.log. An @reboot crontab entry guarantees persistence across container reboots.</w:t>
      </w:r>
    </w:p>
    <w:p>
      <w:pPr>
        <w:spacing w:after="120" w:line="276" w:lineRule="auto"/>
        <w:jc w:val="left"/>
      </w:pPr>
      <w:r>
        <w:rPr>
          <w:rFonts w:ascii="Times New Roman" w:hAnsi="Times New Roman"/>
          <w:b w:val="0"/>
          <w:i w:val="0"/>
          <w:color w:val="000000"/>
          <w:sz w:val="22"/>
        </w:rPr>
        <w:t>Table 1 outlines the complete service allocation, port mappings, and operational responsibilities across the deployed stack.</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tcBorders>
              <w:top w:val="single" w:sz="4" w:space="0" w:color="000000"/>
              <w:left w:val="none"/>
              <w:bottom w:val="single" w:sz="4" w:space="0" w:color="000000"/>
              <w:right w:val="none"/>
            </w:tcBorders>
          </w:tcPr>
          <w:p>
            <w:pPr>
              <w:spacing w:after="40"/>
            </w:pPr>
            <w:r>
              <w:rPr>
                <w:rFonts w:ascii="Times New Roman" w:hAnsi="Times New Roman"/>
                <w:b/>
                <w:color w:val="000000"/>
                <w:sz w:val="19"/>
              </w:rPr>
              <w:t>Service Component</w:t>
            </w:r>
          </w:p>
        </w:tc>
        <w:tc>
          <w:tcPr>
            <w:tcW w:type="dxa" w:w="1872"/>
            <w:tcBorders>
              <w:top w:val="single" w:sz="4" w:space="0" w:color="000000"/>
              <w:left w:val="none"/>
              <w:bottom w:val="single" w:sz="4" w:space="0" w:color="000000"/>
              <w:right w:val="none"/>
            </w:tcBorders>
          </w:tcPr>
          <w:p>
            <w:pPr>
              <w:spacing w:after="40"/>
            </w:pPr>
            <w:r>
              <w:rPr>
                <w:rFonts w:ascii="Times New Roman" w:hAnsi="Times New Roman"/>
                <w:b/>
                <w:color w:val="000000"/>
                <w:sz w:val="19"/>
              </w:rPr>
              <w:t>Internal Port</w:t>
            </w:r>
          </w:p>
        </w:tc>
        <w:tc>
          <w:tcPr>
            <w:tcW w:type="dxa" w:w="1872"/>
            <w:tcBorders>
              <w:top w:val="single" w:sz="4" w:space="0" w:color="000000"/>
              <w:left w:val="none"/>
              <w:bottom w:val="single" w:sz="4" w:space="0" w:color="000000"/>
              <w:right w:val="none"/>
            </w:tcBorders>
          </w:tcPr>
          <w:p>
            <w:pPr>
              <w:spacing w:after="40"/>
            </w:pPr>
            <w:r>
              <w:rPr>
                <w:rFonts w:ascii="Times New Roman" w:hAnsi="Times New Roman"/>
                <w:b/>
                <w:color w:val="000000"/>
                <w:sz w:val="19"/>
              </w:rPr>
              <w:t>External Port</w:t>
            </w:r>
          </w:p>
        </w:tc>
        <w:tc>
          <w:tcPr>
            <w:tcW w:type="dxa" w:w="1872"/>
            <w:tcBorders>
              <w:top w:val="single" w:sz="4" w:space="0" w:color="000000"/>
              <w:left w:val="none"/>
              <w:bottom w:val="single" w:sz="4" w:space="0" w:color="000000"/>
              <w:right w:val="none"/>
            </w:tcBorders>
          </w:tcPr>
          <w:p>
            <w:pPr>
              <w:spacing w:after="40"/>
            </w:pPr>
            <w:r>
              <w:rPr>
                <w:rFonts w:ascii="Times New Roman" w:hAnsi="Times New Roman"/>
                <w:b/>
                <w:color w:val="000000"/>
                <w:sz w:val="19"/>
              </w:rPr>
              <w:t>Protocol / Endpoint</w:t>
            </w:r>
          </w:p>
        </w:tc>
        <w:tc>
          <w:tcPr>
            <w:tcW w:type="dxa" w:w="1872"/>
            <w:tcBorders>
              <w:top w:val="single" w:sz="4" w:space="0" w:color="000000"/>
              <w:left w:val="none"/>
              <w:bottom w:val="single" w:sz="4" w:space="0" w:color="000000"/>
              <w:right w:val="none"/>
            </w:tcBorders>
          </w:tcPr>
          <w:p>
            <w:pPr>
              <w:spacing w:after="40"/>
            </w:pPr>
            <w:r>
              <w:rPr>
                <w:rFonts w:ascii="Times New Roman" w:hAnsi="Times New Roman"/>
                <w:b/>
                <w:color w:val="000000"/>
                <w:sz w:val="19"/>
              </w:rPr>
              <w:t>Observability Responsibility</w:t>
            </w:r>
          </w:p>
        </w:tc>
      </w:tr>
      <w:tr>
        <w:tc>
          <w:tcPr>
            <w:tcW w:type="dxa" w:w="2160"/>
            <w:tcBorders>
              <w:top w:val="single" w:sz="4" w:space="0" w:color="000000"/>
              <w:left w:val="none"/>
              <w:bottom w:val="single" w:sz="4" w:space="0" w:color="000000"/>
              <w:right w:val="none"/>
            </w:tcBorders>
          </w:tcPr>
          <w:p>
            <w:pPr>
              <w:spacing w:after="40"/>
            </w:pPr>
            <w:r>
              <w:rPr>
                <w:rFonts w:ascii="Times New Roman" w:hAnsi="Times New Roman"/>
                <w:color w:val="000000"/>
                <w:sz w:val="18"/>
              </w:rPr>
              <w:t>Backend Gateway &amp; API</w:t>
            </w:r>
          </w:p>
        </w:tc>
        <w:tc>
          <w:tcPr>
            <w:tcW w:type="dxa" w:w="1152"/>
            <w:tcBorders>
              <w:top w:val="single" w:sz="4" w:space="0" w:color="000000"/>
              <w:left w:val="none"/>
              <w:bottom w:val="single" w:sz="4" w:space="0" w:color="000000"/>
              <w:right w:val="none"/>
            </w:tcBorders>
          </w:tcPr>
          <w:p>
            <w:pPr>
              <w:spacing w:after="40"/>
            </w:pPr>
            <w:r>
              <w:rPr>
                <w:rFonts w:ascii="Times New Roman" w:hAnsi="Times New Roman"/>
                <w:color w:val="000000"/>
                <w:sz w:val="18"/>
              </w:rPr>
              <w:t>3000</w:t>
            </w:r>
          </w:p>
        </w:tc>
        <w:tc>
          <w:tcPr>
            <w:tcW w:type="dxa" w:w="1152"/>
            <w:tcBorders>
              <w:top w:val="single" w:sz="4" w:space="0" w:color="000000"/>
              <w:left w:val="none"/>
              <w:bottom w:val="single" w:sz="4" w:space="0" w:color="000000"/>
              <w:right w:val="none"/>
            </w:tcBorders>
          </w:tcPr>
          <w:p>
            <w:pPr>
              <w:spacing w:after="40"/>
            </w:pPr>
            <w:r>
              <w:rPr>
                <w:rFonts w:ascii="Times New Roman" w:hAnsi="Times New Roman"/>
                <w:color w:val="000000"/>
                <w:sz w:val="18"/>
              </w:rPr>
              <w:t>3209</w:t>
            </w:r>
          </w:p>
        </w:tc>
        <w:tc>
          <w:tcPr>
            <w:tcW w:type="dxa" w:w="2160"/>
            <w:tcBorders>
              <w:top w:val="single" w:sz="4" w:space="0" w:color="000000"/>
              <w:left w:val="none"/>
              <w:bottom w:val="single" w:sz="4" w:space="0" w:color="000000"/>
              <w:right w:val="none"/>
            </w:tcBorders>
          </w:tcPr>
          <w:p>
            <w:pPr>
              <w:spacing w:after="40"/>
            </w:pPr>
            <w:r>
              <w:rPr>
                <w:rFonts w:ascii="Times New Roman" w:hAnsi="Times New Roman"/>
                <w:color w:val="000000"/>
                <w:sz w:val="18"/>
              </w:rPr>
              <w:t>HTTP /</w:t>
            </w:r>
          </w:p>
        </w:tc>
        <w:tc>
          <w:tcPr>
            <w:tcW w:type="dxa" w:w="2880"/>
            <w:tcBorders>
              <w:top w:val="single" w:sz="4" w:space="0" w:color="000000"/>
              <w:left w:val="none"/>
              <w:bottom w:val="single" w:sz="4" w:space="0" w:color="000000"/>
              <w:right w:val="none"/>
            </w:tcBorders>
          </w:tcPr>
          <w:p>
            <w:pPr>
              <w:spacing w:after="40"/>
            </w:pPr>
            <w:r>
              <w:rPr>
                <w:rFonts w:ascii="Times New Roman" w:hAnsi="Times New Roman"/>
                <w:color w:val="000000"/>
                <w:sz w:val="18"/>
              </w:rPr>
              <w:t>System landing page, Swagger docs (/docs), and health monitoring</w:t>
            </w:r>
          </w:p>
        </w:tc>
      </w:tr>
      <w:tr>
        <w:tc>
          <w:tcPr>
            <w:tcW w:type="dxa" w:w="2160"/>
            <w:tcBorders>
              <w:top w:val="single" w:sz="4" w:space="0" w:color="000000"/>
              <w:left w:val="none"/>
              <w:bottom w:val="single" w:sz="4" w:space="0" w:color="000000"/>
              <w:right w:val="none"/>
            </w:tcBorders>
          </w:tcPr>
          <w:p>
            <w:pPr>
              <w:spacing w:after="40"/>
            </w:pPr>
            <w:r>
              <w:rPr>
                <w:rFonts w:ascii="Times New Roman" w:hAnsi="Times New Roman"/>
                <w:color w:val="000000"/>
                <w:sz w:val="18"/>
              </w:rPr>
              <w:t>Hydrology Computation</w:t>
            </w:r>
          </w:p>
        </w:tc>
        <w:tc>
          <w:tcPr>
            <w:tcW w:type="dxa" w:w="1152"/>
            <w:tcBorders>
              <w:top w:val="single" w:sz="4" w:space="0" w:color="000000"/>
              <w:left w:val="none"/>
              <w:bottom w:val="single" w:sz="4" w:space="0" w:color="000000"/>
              <w:right w:val="none"/>
            </w:tcBorders>
          </w:tcPr>
          <w:p>
            <w:pPr>
              <w:spacing w:after="40"/>
            </w:pPr>
            <w:r>
              <w:rPr>
                <w:rFonts w:ascii="Times New Roman" w:hAnsi="Times New Roman"/>
                <w:color w:val="000000"/>
                <w:sz w:val="18"/>
              </w:rPr>
              <w:t>3000</w:t>
            </w:r>
          </w:p>
        </w:tc>
        <w:tc>
          <w:tcPr>
            <w:tcW w:type="dxa" w:w="1152"/>
            <w:tcBorders>
              <w:top w:val="single" w:sz="4" w:space="0" w:color="000000"/>
              <w:left w:val="none"/>
              <w:bottom w:val="single" w:sz="4" w:space="0" w:color="000000"/>
              <w:right w:val="none"/>
            </w:tcBorders>
          </w:tcPr>
          <w:p>
            <w:pPr>
              <w:spacing w:after="40"/>
            </w:pPr>
            <w:r>
              <w:rPr>
                <w:rFonts w:ascii="Times New Roman" w:hAnsi="Times New Roman"/>
                <w:color w:val="000000"/>
                <w:sz w:val="18"/>
              </w:rPr>
              <w:t>3209</w:t>
            </w:r>
          </w:p>
        </w:tc>
        <w:tc>
          <w:tcPr>
            <w:tcW w:type="dxa" w:w="2160"/>
            <w:tcBorders>
              <w:top w:val="single" w:sz="4" w:space="0" w:color="000000"/>
              <w:left w:val="none"/>
              <w:bottom w:val="single" w:sz="4" w:space="0" w:color="000000"/>
              <w:right w:val="none"/>
            </w:tcBorders>
          </w:tcPr>
          <w:p>
            <w:pPr>
              <w:spacing w:after="40"/>
            </w:pPr>
            <w:r>
              <w:rPr>
                <w:rFonts w:ascii="Times New Roman" w:hAnsi="Times New Roman"/>
                <w:color w:val="000000"/>
                <w:sz w:val="18"/>
              </w:rPr>
              <w:t>POST /analyzeContour</w:t>
            </w:r>
          </w:p>
        </w:tc>
        <w:tc>
          <w:tcPr>
            <w:tcW w:type="dxa" w:w="2880"/>
            <w:tcBorders>
              <w:top w:val="single" w:sz="4" w:space="0" w:color="000000"/>
              <w:left w:val="none"/>
              <w:bottom w:val="single" w:sz="4" w:space="0" w:color="000000"/>
              <w:right w:val="none"/>
            </w:tcBorders>
          </w:tcPr>
          <w:p>
            <w:pPr>
              <w:spacing w:after="40"/>
            </w:pPr>
            <w:r>
              <w:rPr>
                <w:rFonts w:ascii="Times New Roman" w:hAnsi="Times New Roman"/>
                <w:color w:val="000000"/>
                <w:sz w:val="18"/>
              </w:rPr>
              <w:t>Root trace span parent, timing histograms, pipeline execution</w:t>
            </w:r>
          </w:p>
        </w:tc>
      </w:tr>
      <w:tr>
        <w:tc>
          <w:tcPr>
            <w:tcW w:type="dxa" w:w="2160"/>
            <w:tcBorders>
              <w:top w:val="single" w:sz="4" w:space="0" w:color="000000"/>
              <w:left w:val="none"/>
              <w:bottom w:val="single" w:sz="4" w:space="0" w:color="000000"/>
              <w:right w:val="none"/>
            </w:tcBorders>
          </w:tcPr>
          <w:p>
            <w:pPr>
              <w:spacing w:after="40"/>
            </w:pPr>
            <w:r>
              <w:rPr>
                <w:rFonts w:ascii="Times New Roman" w:hAnsi="Times New Roman"/>
                <w:color w:val="000000"/>
                <w:sz w:val="18"/>
              </w:rPr>
              <w:t>OpenTelemetry Dashboard</w:t>
            </w:r>
          </w:p>
        </w:tc>
        <w:tc>
          <w:tcPr>
            <w:tcW w:type="dxa" w:w="1152"/>
            <w:tcBorders>
              <w:top w:val="single" w:sz="4" w:space="0" w:color="000000"/>
              <w:left w:val="none"/>
              <w:bottom w:val="single" w:sz="4" w:space="0" w:color="000000"/>
              <w:right w:val="none"/>
            </w:tcBorders>
          </w:tcPr>
          <w:p>
            <w:pPr>
              <w:spacing w:after="40"/>
            </w:pPr>
            <w:r>
              <w:rPr>
                <w:rFonts w:ascii="Times New Roman" w:hAnsi="Times New Roman"/>
                <w:color w:val="000000"/>
                <w:sz w:val="18"/>
              </w:rPr>
              <w:t>3000 / 5200</w:t>
            </w:r>
          </w:p>
        </w:tc>
        <w:tc>
          <w:tcPr>
            <w:tcW w:type="dxa" w:w="1152"/>
            <w:tcBorders>
              <w:top w:val="single" w:sz="4" w:space="0" w:color="000000"/>
              <w:left w:val="none"/>
              <w:bottom w:val="single" w:sz="4" w:space="0" w:color="000000"/>
              <w:right w:val="none"/>
            </w:tcBorders>
          </w:tcPr>
          <w:p>
            <w:pPr>
              <w:spacing w:after="40"/>
            </w:pPr>
            <w:r>
              <w:rPr>
                <w:rFonts w:ascii="Times New Roman" w:hAnsi="Times New Roman"/>
                <w:color w:val="000000"/>
                <w:sz w:val="18"/>
              </w:rPr>
              <w:t>3209 / 5209</w:t>
            </w:r>
          </w:p>
        </w:tc>
        <w:tc>
          <w:tcPr>
            <w:tcW w:type="dxa" w:w="2160"/>
            <w:tcBorders>
              <w:top w:val="single" w:sz="4" w:space="0" w:color="000000"/>
              <w:left w:val="none"/>
              <w:bottom w:val="single" w:sz="4" w:space="0" w:color="000000"/>
              <w:right w:val="none"/>
            </w:tcBorders>
          </w:tcPr>
          <w:p>
            <w:pPr>
              <w:spacing w:after="40"/>
            </w:pPr>
            <w:r>
              <w:rPr>
                <w:rFonts w:ascii="Times New Roman" w:hAnsi="Times New Roman"/>
                <w:color w:val="000000"/>
                <w:sz w:val="18"/>
              </w:rPr>
              <w:t>GET /telemetry</w:t>
            </w:r>
          </w:p>
        </w:tc>
        <w:tc>
          <w:tcPr>
            <w:tcW w:type="dxa" w:w="2880"/>
            <w:tcBorders>
              <w:top w:val="single" w:sz="4" w:space="0" w:color="000000"/>
              <w:left w:val="none"/>
              <w:bottom w:val="single" w:sz="4" w:space="0" w:color="000000"/>
              <w:right w:val="none"/>
            </w:tcBorders>
          </w:tcPr>
          <w:p>
            <w:pPr>
              <w:spacing w:after="40"/>
            </w:pPr>
            <w:r>
              <w:rPr>
                <w:rFonts w:ascii="Times New Roman" w:hAnsi="Times New Roman"/>
                <w:color w:val="000000"/>
                <w:sz w:val="18"/>
              </w:rPr>
              <w:t>Interactive trace waterfall viewer, span inspection, log tail</w:t>
            </w:r>
          </w:p>
        </w:tc>
      </w:tr>
      <w:tr>
        <w:tc>
          <w:tcPr>
            <w:tcW w:type="dxa" w:w="2160"/>
            <w:tcBorders>
              <w:top w:val="single" w:sz="4" w:space="0" w:color="000000"/>
              <w:left w:val="none"/>
              <w:bottom w:val="single" w:sz="4" w:space="0" w:color="000000"/>
              <w:right w:val="none"/>
            </w:tcBorders>
          </w:tcPr>
          <w:p>
            <w:pPr>
              <w:spacing w:after="40"/>
            </w:pPr>
            <w:r>
              <w:rPr>
                <w:rFonts w:ascii="Times New Roman" w:hAnsi="Times New Roman"/>
                <w:color w:val="000000"/>
                <w:sz w:val="18"/>
              </w:rPr>
              <w:t>Prometheus Exporter</w:t>
            </w:r>
          </w:p>
        </w:tc>
        <w:tc>
          <w:tcPr>
            <w:tcW w:type="dxa" w:w="1152"/>
            <w:tcBorders>
              <w:top w:val="single" w:sz="4" w:space="0" w:color="000000"/>
              <w:left w:val="none"/>
              <w:bottom w:val="single" w:sz="4" w:space="0" w:color="000000"/>
              <w:right w:val="none"/>
            </w:tcBorders>
          </w:tcPr>
          <w:p>
            <w:pPr>
              <w:spacing w:after="40"/>
            </w:pPr>
            <w:r>
              <w:rPr>
                <w:rFonts w:ascii="Times New Roman" w:hAnsi="Times New Roman"/>
                <w:color w:val="000000"/>
                <w:sz w:val="18"/>
              </w:rPr>
              <w:t>3000</w:t>
            </w:r>
          </w:p>
        </w:tc>
        <w:tc>
          <w:tcPr>
            <w:tcW w:type="dxa" w:w="1152"/>
            <w:tcBorders>
              <w:top w:val="single" w:sz="4" w:space="0" w:color="000000"/>
              <w:left w:val="none"/>
              <w:bottom w:val="single" w:sz="4" w:space="0" w:color="000000"/>
              <w:right w:val="none"/>
            </w:tcBorders>
          </w:tcPr>
          <w:p>
            <w:pPr>
              <w:spacing w:after="40"/>
            </w:pPr>
            <w:r>
              <w:rPr>
                <w:rFonts w:ascii="Times New Roman" w:hAnsi="Times New Roman"/>
                <w:color w:val="000000"/>
                <w:sz w:val="18"/>
              </w:rPr>
              <w:t>3209</w:t>
            </w:r>
          </w:p>
        </w:tc>
        <w:tc>
          <w:tcPr>
            <w:tcW w:type="dxa" w:w="2160"/>
            <w:tcBorders>
              <w:top w:val="single" w:sz="4" w:space="0" w:color="000000"/>
              <w:left w:val="none"/>
              <w:bottom w:val="single" w:sz="4" w:space="0" w:color="000000"/>
              <w:right w:val="none"/>
            </w:tcBorders>
          </w:tcPr>
          <w:p>
            <w:pPr>
              <w:spacing w:after="40"/>
            </w:pPr>
            <w:r>
              <w:rPr>
                <w:rFonts w:ascii="Times New Roman" w:hAnsi="Times New Roman"/>
                <w:color w:val="000000"/>
                <w:sz w:val="18"/>
              </w:rPr>
              <w:t>GET /metrics</w:t>
            </w:r>
          </w:p>
        </w:tc>
        <w:tc>
          <w:tcPr>
            <w:tcW w:type="dxa" w:w="2880"/>
            <w:tcBorders>
              <w:top w:val="single" w:sz="4" w:space="0" w:color="000000"/>
              <w:left w:val="none"/>
              <w:bottom w:val="single" w:sz="4" w:space="0" w:color="000000"/>
              <w:right w:val="none"/>
            </w:tcBorders>
          </w:tcPr>
          <w:p>
            <w:pPr>
              <w:spacing w:after="40"/>
            </w:pPr>
            <w:r>
              <w:rPr>
                <w:rFonts w:ascii="Times New Roman" w:hAnsi="Times New Roman"/>
                <w:color w:val="000000"/>
                <w:sz w:val="18"/>
              </w:rPr>
              <w:t>Standard Prometheus scrapable pull metrics (counters, gauges, buckets)</w:t>
            </w:r>
          </w:p>
        </w:tc>
      </w:tr>
      <w:tr>
        <w:tc>
          <w:tcPr>
            <w:tcW w:type="dxa" w:w="2160"/>
            <w:tcBorders>
              <w:top w:val="single" w:sz="4" w:space="0" w:color="000000"/>
              <w:left w:val="none"/>
              <w:bottom w:val="single" w:sz="4" w:space="0" w:color="000000"/>
              <w:right w:val="none"/>
            </w:tcBorders>
          </w:tcPr>
          <w:p>
            <w:pPr>
              <w:spacing w:after="40"/>
            </w:pPr>
            <w:r>
              <w:rPr>
                <w:rFonts w:ascii="Times New Roman" w:hAnsi="Times New Roman"/>
                <w:color w:val="000000"/>
                <w:sz w:val="18"/>
              </w:rPr>
              <w:t>GIS Frontend Client</w:t>
            </w:r>
          </w:p>
        </w:tc>
        <w:tc>
          <w:tcPr>
            <w:tcW w:type="dxa" w:w="1152"/>
            <w:tcBorders>
              <w:top w:val="single" w:sz="4" w:space="0" w:color="000000"/>
              <w:left w:val="none"/>
              <w:bottom w:val="single" w:sz="4" w:space="0" w:color="000000"/>
              <w:right w:val="none"/>
            </w:tcBorders>
          </w:tcPr>
          <w:p>
            <w:pPr>
              <w:spacing w:after="40"/>
            </w:pPr>
            <w:r>
              <w:rPr>
                <w:rFonts w:ascii="Times New Roman" w:hAnsi="Times New Roman"/>
                <w:color w:val="000000"/>
                <w:sz w:val="18"/>
              </w:rPr>
              <w:t>4000</w:t>
            </w:r>
          </w:p>
        </w:tc>
        <w:tc>
          <w:tcPr>
            <w:tcW w:type="dxa" w:w="1152"/>
            <w:tcBorders>
              <w:top w:val="single" w:sz="4" w:space="0" w:color="000000"/>
              <w:left w:val="none"/>
              <w:bottom w:val="single" w:sz="4" w:space="0" w:color="000000"/>
              <w:right w:val="none"/>
            </w:tcBorders>
          </w:tcPr>
          <w:p>
            <w:pPr>
              <w:spacing w:after="40"/>
            </w:pPr>
            <w:r>
              <w:rPr>
                <w:rFonts w:ascii="Times New Roman" w:hAnsi="Times New Roman"/>
                <w:color w:val="000000"/>
                <w:sz w:val="18"/>
              </w:rPr>
              <w:t>4209</w:t>
            </w:r>
          </w:p>
        </w:tc>
        <w:tc>
          <w:tcPr>
            <w:tcW w:type="dxa" w:w="2160"/>
            <w:tcBorders>
              <w:top w:val="single" w:sz="4" w:space="0" w:color="000000"/>
              <w:left w:val="none"/>
              <w:bottom w:val="single" w:sz="4" w:space="0" w:color="000000"/>
              <w:right w:val="none"/>
            </w:tcBorders>
          </w:tcPr>
          <w:p>
            <w:pPr>
              <w:spacing w:after="40"/>
            </w:pPr>
            <w:r>
              <w:rPr>
                <w:rFonts w:ascii="Times New Roman" w:hAnsi="Times New Roman"/>
                <w:color w:val="000000"/>
                <w:sz w:val="18"/>
              </w:rPr>
              <w:t>HTTP /</w:t>
            </w:r>
          </w:p>
        </w:tc>
        <w:tc>
          <w:tcPr>
            <w:tcW w:type="dxa" w:w="2880"/>
            <w:tcBorders>
              <w:top w:val="single" w:sz="4" w:space="0" w:color="000000"/>
              <w:left w:val="none"/>
              <w:bottom w:val="single" w:sz="4" w:space="0" w:color="000000"/>
              <w:right w:val="none"/>
            </w:tcBorders>
          </w:tcPr>
          <w:p>
            <w:pPr>
              <w:spacing w:after="40"/>
            </w:pPr>
            <w:r>
              <w:rPr>
                <w:rFonts w:ascii="Times New Roman" w:hAnsi="Times New Roman"/>
                <w:color w:val="000000"/>
                <w:sz w:val="18"/>
              </w:rPr>
              <w:t>Client-side map viewer with embedded OpenTelemetry Trace ID link</w:t>
            </w:r>
          </w:p>
        </w:tc>
      </w:tr>
    </w:tbl>
    <w:p>
      <w:pPr>
        <w:spacing w:before="80" w:after="200"/>
        <w:jc w:val="center"/>
      </w:pPr>
      <w:r>
        <w:rPr>
          <w:rFonts w:ascii="Times New Roman" w:hAnsi="Times New Roman"/>
          <w:i/>
          <w:color w:val="000000"/>
          <w:sz w:val="19"/>
        </w:rPr>
        <w:t>Table 1: Architectural service port mapping and observability role matrix.</w:t>
      </w:r>
    </w:p>
    <w:p>
      <w:pPr>
        <w:keepNext/>
        <w:spacing w:before="280" w:after="120"/>
      </w:pPr>
      <w:r>
        <w:rPr>
          <w:rFonts w:ascii="Times New Roman" w:hAnsi="Times New Roman"/>
          <w:b/>
          <w:color w:val="000000"/>
          <w:sz w:val="28"/>
        </w:rPr>
        <w:t>3. OpenTelemetry Implementation Details</w:t>
      </w:r>
    </w:p>
    <w:p>
      <w:pPr>
        <w:spacing w:after="120" w:line="276" w:lineRule="auto"/>
        <w:jc w:val="left"/>
      </w:pPr>
      <w:r>
        <w:rPr>
          <w:rFonts w:ascii="Times New Roman" w:hAnsi="Times New Roman"/>
          <w:b w:val="0"/>
          <w:i w:val="0"/>
          <w:color w:val="000000"/>
          <w:sz w:val="22"/>
        </w:rPr>
        <w:t>The OpenTelemetry integration was designed strictly within our application code without requiring modifications to the core mathematical algorithms. We avoided external daemon dependencies that might fail in air-gapped university containers by deploying an in-process, self-contained architecture structured across three dedicated modules under app/telemetry/.</w:t>
      </w:r>
    </w:p>
    <w:p>
      <w:pPr>
        <w:keepNext/>
        <w:spacing w:before="200" w:after="80"/>
      </w:pPr>
      <w:r>
        <w:rPr>
          <w:rFonts w:ascii="Times New Roman" w:hAnsi="Times New Roman"/>
          <w:b/>
          <w:color w:val="000000"/>
          <w:sz w:val="24"/>
        </w:rPr>
        <w:t>3.1. Distributed Tracing Architecture (tracer.py)</w:t>
      </w:r>
    </w:p>
    <w:p>
      <w:pPr>
        <w:spacing w:after="120" w:line="276" w:lineRule="auto"/>
        <w:jc w:val="left"/>
      </w:pPr>
      <w:r>
        <w:rPr>
          <w:rFonts w:ascii="Times New Roman" w:hAnsi="Times New Roman"/>
          <w:b w:val="0"/>
          <w:i w:val="0"/>
          <w:color w:val="000000"/>
          <w:sz w:val="22"/>
        </w:rPr>
        <w:t>Distributed tracing reconstructs the full chronological lifecycle of an incoming request as it moves through various functional boundaries. We configured an OpenTelemetry TracerProvider associated with a standardized Resource containing semantic attributes such as service.name ('pond-planning-service'), service.version ('2.0.0'), and host.name ('stu3_sys1').</w:t>
      </w:r>
    </w:p>
    <w:p>
      <w:pPr>
        <w:spacing w:after="120" w:line="276" w:lineRule="auto"/>
        <w:jc w:val="left"/>
      </w:pPr>
      <w:r>
        <w:rPr>
          <w:rFonts w:ascii="Times New Roman" w:hAnsi="Times New Roman"/>
          <w:b w:val="0"/>
          <w:i w:val="0"/>
          <w:color w:val="000000"/>
          <w:sz w:val="22"/>
        </w:rPr>
        <w:t>To capture granular execution timings without adding runtime overhead, we implemented the trace_stage context manager in app/telemetry/tracer.py. This utility automatically creates child spans nested under the active root span, records start and end timestamps, sets span status codes, and enriches spans with hydrological metadata. The pipeline was partitioned into four hierarchical stages:</w:t>
      </w:r>
    </w:p>
    <w:p>
      <w:pPr>
        <w:pStyle w:val="ListBullet"/>
        <w:spacing w:after="60" w:line="276" w:lineRule="auto"/>
      </w:pPr>
      <w:r>
        <w:rPr>
          <w:rFonts w:ascii="Times New Roman" w:hAnsi="Times New Roman"/>
          <w:b/>
          <w:color w:val="000000"/>
          <w:sz w:val="22"/>
        </w:rPr>
        <w:t xml:space="preserve">kml.parse: </w:t>
      </w:r>
      <w:r>
        <w:rPr>
          <w:rFonts w:ascii="Times New Roman" w:hAnsi="Times New Roman"/>
          <w:color w:val="000000"/>
          <w:sz w:val="22"/>
        </w:rPr>
        <w:t>Measures raw XML parsing and coordinate extraction. Records span attributes kml.filename, kml.bytes, contour.lines_count (1,355 lines), and elevation boundaries (267.0 m to 298.0 m).</w:t>
      </w:r>
    </w:p>
    <w:p>
      <w:pPr>
        <w:pStyle w:val="ListBullet"/>
        <w:spacing w:after="60" w:line="276" w:lineRule="auto"/>
      </w:pPr>
      <w:r>
        <w:rPr>
          <w:rFonts w:ascii="Times New Roman" w:hAnsi="Times New Roman"/>
          <w:b/>
          <w:color w:val="000000"/>
          <w:sz w:val="22"/>
        </w:rPr>
        <w:t xml:space="preserve">dem.build: </w:t>
      </w:r>
      <w:r>
        <w:rPr>
          <w:rFonts w:ascii="Times New Roman" w:hAnsi="Times New Roman"/>
          <w:color w:val="000000"/>
          <w:sz w:val="22"/>
        </w:rPr>
        <w:t>Captures the Delaunay spatial interpolation stage. Records dem.resolution_requested_m (20.0 m), dem.rows (132), dem.cols (163), and total grid cells (21,516 cells).</w:t>
      </w:r>
    </w:p>
    <w:p>
      <w:pPr>
        <w:pStyle w:val="ListBullet"/>
        <w:spacing w:after="60" w:line="276" w:lineRule="auto"/>
      </w:pPr>
      <w:r>
        <w:rPr>
          <w:rFonts w:ascii="Times New Roman" w:hAnsi="Times New Roman"/>
          <w:b/>
          <w:color w:val="000000"/>
          <w:sz w:val="22"/>
        </w:rPr>
        <w:t xml:space="preserve">terrain.analyze: </w:t>
      </w:r>
      <w:r>
        <w:rPr>
          <w:rFonts w:ascii="Times New Roman" w:hAnsi="Times New Roman"/>
          <w:color w:val="000000"/>
          <w:sz w:val="22"/>
        </w:rPr>
        <w:t>Profiles hydrological flow routing and depression filling. Records terrain.max_slope_pct (37.34%) and maximum flow accumulation count (82 cells).</w:t>
      </w:r>
    </w:p>
    <w:p>
      <w:pPr>
        <w:pStyle w:val="ListBullet"/>
        <w:spacing w:after="60" w:line="276" w:lineRule="auto"/>
      </w:pPr>
      <w:r>
        <w:rPr>
          <w:rFonts w:ascii="Times New Roman" w:hAnsi="Times New Roman"/>
          <w:b/>
          <w:color w:val="000000"/>
          <w:sz w:val="22"/>
        </w:rPr>
        <w:t xml:space="preserve">pond.select_and_delineate: </w:t>
      </w:r>
      <w:r>
        <w:rPr>
          <w:rFonts w:ascii="Times New Roman" w:hAnsi="Times New Roman"/>
          <w:color w:val="000000"/>
          <w:sz w:val="22"/>
        </w:rPr>
        <w:t>Captures multi-criteria site scoring and reverse BFS watershed delineation. Records pond.lat, pond.lon, catchment.area_m2 (29,600.0 m²), water.expected_volume_m3 (10,656.0 m³), and recommended depth (3.0 m).</w:t>
      </w:r>
    </w:p>
    <w:p>
      <w:pPr>
        <w:spacing w:after="120" w:line="276" w:lineRule="auto"/>
        <w:jc w:val="left"/>
      </w:pPr>
      <w:r>
        <w:rPr>
          <w:rFonts w:ascii="Times New Roman" w:hAnsi="Times New Roman"/>
          <w:b w:val="0"/>
          <w:i w:val="0"/>
          <w:color w:val="000000"/>
          <w:sz w:val="22"/>
        </w:rPr>
        <w:t>Spans are exported through dual mechanisms: (1) a custom FileJsonSpanExporter that appends serialized span records to logs/otel_spans.jsonl for immediate inspection and persistence, and (2) automatic FastAPI request instrumentation via FastAPIInstrumentor.instrument_app(), which creates the outer HTTP span and propagates W3C Trace Context headers.</w:t>
      </w:r>
    </w:p>
    <w:p>
      <w:pPr>
        <w:keepNext/>
        <w:spacing w:before="200" w:after="80"/>
      </w:pPr>
      <w:r>
        <w:rPr>
          <w:rFonts w:ascii="Times New Roman" w:hAnsi="Times New Roman"/>
          <w:b/>
          <w:color w:val="000000"/>
          <w:sz w:val="24"/>
        </w:rPr>
        <w:t>3.2. Metrics Instrumentation &amp; Prometheus Exporter (metrics.py)</w:t>
      </w:r>
    </w:p>
    <w:p>
      <w:pPr>
        <w:spacing w:after="120" w:line="276" w:lineRule="auto"/>
        <w:jc w:val="left"/>
      </w:pPr>
      <w:r>
        <w:rPr>
          <w:rFonts w:ascii="Times New Roman" w:hAnsi="Times New Roman"/>
          <w:b w:val="0"/>
          <w:i w:val="0"/>
          <w:color w:val="000000"/>
          <w:sz w:val="22"/>
        </w:rPr>
        <w:t>While traces detail individual transactions, metrics aggregate system behavior over time. Using prometheus_client integrated within app/telemetry/metrics.py, we established eight distinct metric instruments covering operational throughput, execution latency, and civil hydrological dimensions:</w:t>
      </w:r>
    </w:p>
    <w:p>
      <w:pPr>
        <w:pStyle w:val="ListBullet"/>
        <w:spacing w:after="60" w:line="276" w:lineRule="auto"/>
      </w:pPr>
      <w:r>
        <w:rPr>
          <w:rFonts w:ascii="Times New Roman" w:hAnsi="Times New Roman"/>
          <w:b/>
          <w:color w:val="000000"/>
          <w:sz w:val="22"/>
        </w:rPr>
        <w:t xml:space="preserve">pond_analysis_requests_total (Counter): </w:t>
      </w:r>
      <w:r>
        <w:rPr>
          <w:rFonts w:ascii="Times New Roman" w:hAnsi="Times New Roman"/>
          <w:color w:val="000000"/>
          <w:sz w:val="22"/>
        </w:rPr>
        <w:t>Tracks total requests processed, labeled by status ('success' or 'error') and grid resolution ('20.0').</w:t>
      </w:r>
    </w:p>
    <w:p>
      <w:pPr>
        <w:pStyle w:val="ListBullet"/>
        <w:spacing w:after="60" w:line="276" w:lineRule="auto"/>
      </w:pPr>
      <w:r>
        <w:rPr>
          <w:rFonts w:ascii="Times New Roman" w:hAnsi="Times New Roman"/>
          <w:b/>
          <w:color w:val="000000"/>
          <w:sz w:val="22"/>
        </w:rPr>
        <w:t xml:space="preserve">pond_analysis_duration_seconds (Histogram): </w:t>
      </w:r>
      <w:r>
        <w:rPr>
          <w:rFonts w:ascii="Times New Roman" w:hAnsi="Times New Roman"/>
          <w:color w:val="000000"/>
          <w:sz w:val="22"/>
        </w:rPr>
        <w:t>Measures end-to-end processing latency across exponential buckets (0.5s to 60s), enabling P50, P90, and P99 SLA tracking.</w:t>
      </w:r>
    </w:p>
    <w:p>
      <w:pPr>
        <w:pStyle w:val="ListBullet"/>
        <w:spacing w:after="60" w:line="276" w:lineRule="auto"/>
      </w:pPr>
      <w:r>
        <w:rPr>
          <w:rFonts w:ascii="Times New Roman" w:hAnsi="Times New Roman"/>
          <w:b/>
          <w:color w:val="000000"/>
          <w:sz w:val="22"/>
        </w:rPr>
        <w:t xml:space="preserve">pond_stage_duration_seconds (Histogram): </w:t>
      </w:r>
      <w:r>
        <w:rPr>
          <w:rFonts w:ascii="Times New Roman" w:hAnsi="Times New Roman"/>
          <w:color w:val="000000"/>
          <w:sz w:val="22"/>
        </w:rPr>
        <w:t>Profiles the isolated latency of individual pipeline stages (parse_kml, build_dem, terrain_analysis, pond_selection) across fine-grained buckets (0.01s to 20s).</w:t>
      </w:r>
    </w:p>
    <w:p>
      <w:pPr>
        <w:pStyle w:val="ListBullet"/>
        <w:spacing w:after="60" w:line="276" w:lineRule="auto"/>
      </w:pPr>
      <w:r>
        <w:rPr>
          <w:rFonts w:ascii="Times New Roman" w:hAnsi="Times New Roman"/>
          <w:b/>
          <w:color w:val="000000"/>
          <w:sz w:val="22"/>
        </w:rPr>
        <w:t xml:space="preserve">pond_catchment_area_square_meters (Gauge): </w:t>
      </w:r>
      <w:r>
        <w:rPr>
          <w:rFonts w:ascii="Times New Roman" w:hAnsi="Times New Roman"/>
          <w:color w:val="000000"/>
          <w:sz w:val="22"/>
        </w:rPr>
        <w:t>Maintains the most recently delineated watershed catchment surface area in m².</w:t>
      </w:r>
    </w:p>
    <w:p>
      <w:pPr>
        <w:pStyle w:val="ListBullet"/>
        <w:spacing w:after="60" w:line="276" w:lineRule="auto"/>
      </w:pPr>
      <w:r>
        <w:rPr>
          <w:rFonts w:ascii="Times New Roman" w:hAnsi="Times New Roman"/>
          <w:b/>
          <w:color w:val="000000"/>
          <w:sz w:val="22"/>
        </w:rPr>
        <w:t xml:space="preserve">pond_expected_water_volume_cubic_meters (Gauge): </w:t>
      </w:r>
      <w:r>
        <w:rPr>
          <w:rFonts w:ascii="Times New Roman" w:hAnsi="Times New Roman"/>
          <w:color w:val="000000"/>
          <w:sz w:val="22"/>
        </w:rPr>
        <w:t>Maintains the calculated harvestable monsoon runoff volume in m³.</w:t>
      </w:r>
    </w:p>
    <w:p>
      <w:pPr>
        <w:pStyle w:val="ListBullet"/>
        <w:spacing w:after="60" w:line="276" w:lineRule="auto"/>
      </w:pPr>
      <w:r>
        <w:rPr>
          <w:rFonts w:ascii="Times New Roman" w:hAnsi="Times New Roman"/>
          <w:b/>
          <w:color w:val="000000"/>
          <w:sz w:val="22"/>
        </w:rPr>
        <w:t xml:space="preserve">pond_contour_lines_count &amp; pond_dem_grid_cells_total (Gauges): </w:t>
      </w:r>
      <w:r>
        <w:rPr>
          <w:rFonts w:ascii="Times New Roman" w:hAnsi="Times New Roman"/>
          <w:color w:val="000000"/>
          <w:sz w:val="22"/>
        </w:rPr>
        <w:t>Reflect input geometric density and raster grid dimensions.</w:t>
      </w:r>
    </w:p>
    <w:p>
      <w:pPr>
        <w:spacing w:after="120" w:line="276" w:lineRule="auto"/>
        <w:jc w:val="left"/>
      </w:pPr>
      <w:r>
        <w:rPr>
          <w:rFonts w:ascii="Times New Roman" w:hAnsi="Times New Roman"/>
          <w:b w:val="0"/>
          <w:i w:val="0"/>
          <w:color w:val="000000"/>
          <w:sz w:val="22"/>
        </w:rPr>
        <w:t>These metrics are exposed at GET /metrics in standard Prometheus text format (version 0.0.4). Additionally, a dedicated endpoint at GET /api/metrics_json serves structured JSON values directly to the client dashboard, eliminating fragile client-side string parsing.</w:t>
      </w:r>
    </w:p>
    <w:p>
      <w:pPr>
        <w:keepNext/>
        <w:spacing w:before="200" w:after="80"/>
      </w:pPr>
      <w:r>
        <w:rPr>
          <w:rFonts w:ascii="Times New Roman" w:hAnsi="Times New Roman"/>
          <w:b/>
          <w:color w:val="000000"/>
          <w:sz w:val="24"/>
        </w:rPr>
        <w:t>3.3. Trace-Correlated Structured Logging (logging_setup.py)</w:t>
      </w:r>
    </w:p>
    <w:p>
      <w:pPr>
        <w:spacing w:after="120" w:line="276" w:lineRule="auto"/>
        <w:jc w:val="left"/>
      </w:pPr>
      <w:r>
        <w:rPr>
          <w:rFonts w:ascii="Times New Roman" w:hAnsi="Times New Roman"/>
          <w:b w:val="0"/>
          <w:i w:val="0"/>
          <w:color w:val="000000"/>
          <w:sz w:val="22"/>
        </w:rPr>
        <w:t>Traditional application logs lose utility when decoupled from request context. To establish direct correlation, we authored OTelLogFormatter in app/telemetry/logging_setup.py. On every logging call, the formatter invokes opentelemetry.trace.get_current_span().If an active span context exists, the 32-character hexadecimal trace_id and 16-character span_id are automatically extracted and injected into the log record header:</w:t>
      </w:r>
    </w:p>
    <w:p>
      <w:pPr>
        <w:spacing w:before="80" w:after="120" w:line="252" w:lineRule="auto"/>
        <w:ind w:left="360"/>
      </w:pPr>
      <w:r>
        <w:rPr>
          <w:rFonts w:ascii="Consolas" w:hAnsi="Consolas"/>
          <w:color w:val="000000"/>
          <w:sz w:val="19"/>
        </w:rPr>
        <w:t>[2026-10-27 17:24:00] [INFO] [trace_id=852456f61c52a2f99f9c4276cc968dbc span_id=a933679a78a550c8] Built DEM grid 132x163 (21516 cells) in 8460.13 ms</w:t>
      </w:r>
    </w:p>
    <w:p>
      <w:pPr>
        <w:spacing w:after="120" w:line="276" w:lineRule="auto"/>
        <w:jc w:val="left"/>
      </w:pPr>
      <w:r>
        <w:rPr>
          <w:rFonts w:ascii="Times New Roman" w:hAnsi="Times New Roman"/>
          <w:b w:val="0"/>
          <w:i w:val="0"/>
          <w:color w:val="000000"/>
          <w:sz w:val="22"/>
        </w:rPr>
        <w:t>If no transaction is active, the formatter outputs zeroed identifiers (00000000000000000000000000000000). This unified format allows an engineer inspecting a log message to immediately look up the full execution waterfall in the trace viewer without manual grepping.</w:t>
      </w:r>
    </w:p>
    <w:p>
      <w:pPr>
        <w:keepNext/>
        <w:spacing w:before="280" w:after="120"/>
      </w:pPr>
      <w:r>
        <w:rPr>
          <w:rFonts w:ascii="Times New Roman" w:hAnsi="Times New Roman"/>
          <w:b/>
          <w:color w:val="000000"/>
          <w:sz w:val="28"/>
        </w:rPr>
        <w:t>4. Empirical Verification &amp; Screenshot Analysis</w:t>
      </w:r>
    </w:p>
    <w:p>
      <w:pPr>
        <w:spacing w:after="120" w:line="276" w:lineRule="auto"/>
        <w:jc w:val="left"/>
      </w:pPr>
      <w:r>
        <w:rPr>
          <w:rFonts w:ascii="Times New Roman" w:hAnsi="Times New Roman"/>
          <w:b w:val="0"/>
          <w:i w:val="0"/>
          <w:color w:val="000000"/>
          <w:sz w:val="22"/>
        </w:rPr>
        <w:t>To verify that the OpenTelemetry instrumentation functions correctly under real computational workloads, we executed end-to-end analyses using the benchmark contours_1m.kml dataset (6.40 MB, 1,355 contour polylines, elevation range 267.0 m to 298.0 m). The following four subsections present direct evidence captured from our running student container (stu3_sys1 at 10.1.75.51).</w:t>
      </w:r>
    </w:p>
    <w:p>
      <w:pPr>
        <w:keepNext/>
        <w:spacing w:before="200" w:after="80"/>
      </w:pPr>
      <w:r>
        <w:rPr>
          <w:rFonts w:ascii="Times New Roman" w:hAnsi="Times New Roman"/>
          <w:b/>
          <w:color w:val="000000"/>
          <w:sz w:val="24"/>
        </w:rPr>
        <w:t>4.1. Distributed Tracing &amp; Span Waterfall View</w:t>
      </w:r>
    </w:p>
    <w:p>
      <w:pPr>
        <w:spacing w:before="160" w:after="80"/>
        <w:jc w:val="center"/>
      </w:pPr>
      <w:r>
        <w:drawing>
          <wp:inline xmlns:a="http://schemas.openxmlformats.org/drawingml/2006/main" xmlns:pic="http://schemas.openxmlformats.org/drawingml/2006/picture">
            <wp:extent cx="5486400" cy="2539603"/>
            <wp:docPr id="1" name="Picture 1"/>
            <wp:cNvGraphicFramePr>
              <a:graphicFrameLocks noChangeAspect="1"/>
            </wp:cNvGraphicFramePr>
            <a:graphic>
              <a:graphicData uri="http://schemas.openxmlformats.org/drawingml/2006/picture">
                <pic:pic>
                  <pic:nvPicPr>
                    <pic:cNvPr id="0" name="fig1_traces_waterfall.png"/>
                    <pic:cNvPicPr/>
                  </pic:nvPicPr>
                  <pic:blipFill>
                    <a:blip r:embed="rId11"/>
                    <a:stretch>
                      <a:fillRect/>
                    </a:stretch>
                  </pic:blipFill>
                  <pic:spPr>
                    <a:xfrm>
                      <a:off x="0" y="0"/>
                      <a:ext cx="5486400" cy="2539603"/>
                    </a:xfrm>
                    <a:prstGeom prst="rect"/>
                  </pic:spPr>
                </pic:pic>
              </a:graphicData>
            </a:graphic>
          </wp:inline>
        </w:drawing>
      </w:r>
    </w:p>
    <w:p>
      <w:pPr>
        <w:keepNext/>
        <w:spacing w:after="200"/>
        <w:jc w:val="center"/>
      </w:pPr>
      <w:r>
        <w:rPr>
          <w:rFonts w:ascii="Times New Roman" w:hAnsi="Times New Roman"/>
          <w:i/>
          <w:color w:val="000000"/>
          <w:sz w:val="20"/>
        </w:rPr>
        <w:t>Figure 1: Live OpenTelemetry distributed trace waterfall captured on port 3209, displaying root span POST /analyzeContour and nested child spans.</w:t>
      </w:r>
    </w:p>
    <w:p>
      <w:pPr>
        <w:spacing w:after="120" w:line="276" w:lineRule="auto"/>
        <w:jc w:val="left"/>
      </w:pPr>
      <w:r>
        <w:rPr>
          <w:rFonts w:ascii="Times New Roman" w:hAnsi="Times New Roman"/>
          <w:b w:val="0"/>
          <w:i w:val="0"/>
          <w:color w:val="000000"/>
          <w:sz w:val="22"/>
        </w:rPr>
        <w:t>Description and Analysis of Figure 1: Figure 1 captures the Traces &amp; Spans view in our interactive OpenTelemetry dashboard hosted at http://10.1.75.51:3209/telemetry. The view illustrates the trace with ID 852456f61c52a2f99f9c4276cc968dbc, consisting of 94 spans with a total transaction duration of 10,467.8 ms. The waterfall hierarchy clearly breaks down the lifecycle of the HTTP multipart request: initial ASGI receive spans handle chunked binary transfer (0.04 ms to 0.06 ms per chunk), followed by the parent hydrological analysis span pond.analyze_contour and its sequential sub-spans (kml.parse, dem.build, terrain.analyze, and pond.select_and_delineate).</w:t>
      </w:r>
    </w:p>
    <w:p>
      <w:pPr>
        <w:spacing w:after="120" w:line="276" w:lineRule="auto"/>
        <w:jc w:val="left"/>
      </w:pPr>
      <w:r>
        <w:rPr>
          <w:rFonts w:ascii="Times New Roman" w:hAnsi="Times New Roman"/>
          <w:b w:val="0"/>
          <w:i w:val="0"/>
          <w:color w:val="000000"/>
          <w:sz w:val="22"/>
        </w:rPr>
        <w:t>Engineering Insight: This trace view visually proves where execution time is concentrated. The Delaunay grid interpolation (dem.build) accounts for over 80% of total pipeline latency (~8.4 seconds), whereas terrain analysis and watershed delineation execute in under 150 ms combined. This empirically confirms that surface interpolation of 1,355 contour lines onto a 21,516-cell regular grid represents the primary computational bottleneck in the backend.</w:t>
      </w:r>
    </w:p>
    <w:p>
      <w:pPr>
        <w:keepNext/>
        <w:spacing w:before="200" w:after="80"/>
      </w:pPr>
      <w:r>
        <w:rPr>
          <w:rFonts w:ascii="Times New Roman" w:hAnsi="Times New Roman"/>
          <w:b/>
          <w:color w:val="000000"/>
          <w:sz w:val="24"/>
        </w:rPr>
        <w:t>4.2. Real-Time Hydrological &amp; Prometheus Metrics Dashboard</w:t>
      </w:r>
    </w:p>
    <w:p>
      <w:pPr>
        <w:spacing w:before="160" w:after="80"/>
        <w:jc w:val="center"/>
      </w:pPr>
      <w:r>
        <w:drawing>
          <wp:inline xmlns:a="http://schemas.openxmlformats.org/drawingml/2006/main" xmlns:pic="http://schemas.openxmlformats.org/drawingml/2006/picture">
            <wp:extent cx="5486400" cy="2523530"/>
            <wp:docPr id="2" name="Picture 2"/>
            <wp:cNvGraphicFramePr>
              <a:graphicFrameLocks noChangeAspect="1"/>
            </wp:cNvGraphicFramePr>
            <a:graphic>
              <a:graphicData uri="http://schemas.openxmlformats.org/drawingml/2006/picture">
                <pic:pic>
                  <pic:nvPicPr>
                    <pic:cNvPr id="0" name="fig2_prometheus_metrics.png"/>
                    <pic:cNvPicPr/>
                  </pic:nvPicPr>
                  <pic:blipFill>
                    <a:blip r:embed="rId12"/>
                    <a:stretch>
                      <a:fillRect/>
                    </a:stretch>
                  </pic:blipFill>
                  <pic:spPr>
                    <a:xfrm>
                      <a:off x="0" y="0"/>
                      <a:ext cx="5486400" cy="2523530"/>
                    </a:xfrm>
                    <a:prstGeom prst="rect"/>
                  </pic:spPr>
                </pic:pic>
              </a:graphicData>
            </a:graphic>
          </wp:inline>
        </w:drawing>
      </w:r>
    </w:p>
    <w:p>
      <w:pPr>
        <w:keepNext/>
        <w:spacing w:after="200"/>
        <w:jc w:val="center"/>
      </w:pPr>
      <w:r>
        <w:rPr>
          <w:rFonts w:ascii="Times New Roman" w:hAnsi="Times New Roman"/>
          <w:i/>
          <w:color w:val="000000"/>
          <w:sz w:val="20"/>
        </w:rPr>
        <w:t>Figure 2: Real-time hydrological metric cards and scrapable Prometheus exporter output (/metrics) captured from the live container environment.</w:t>
      </w:r>
    </w:p>
    <w:p>
      <w:pPr>
        <w:spacing w:after="120" w:line="276" w:lineRule="auto"/>
        <w:jc w:val="left"/>
      </w:pPr>
      <w:r>
        <w:rPr>
          <w:rFonts w:ascii="Times New Roman" w:hAnsi="Times New Roman"/>
          <w:b w:val="0"/>
          <w:i w:val="0"/>
          <w:color w:val="000000"/>
          <w:sz w:val="22"/>
        </w:rPr>
        <w:t>Description and Analysis of Figure 2: Figure 2 displays the Metrics (Prometheus) tab of the observability dashboard. The top section features eight live metric cards reflecting the operational and physical state of the service: Total Requests (1), Last Duration (7.29 sec), Catchment Area (29,600 m²), Expected Volume (10,656 m³), Contour Lines (1,355), DEM Grid Cells (21,516), Topographic Relief (14.6 m), and Recommended Pond Depth (3.0 m). Below the summary cards, the raw Prometheus exporter output demonstrates live metric exposition adhering to the Prometheus standard format, showing Python garbage collection counters, process memory gauges, and custom pond planning histograms.</w:t>
      </w:r>
    </w:p>
    <w:p>
      <w:pPr>
        <w:spacing w:after="120" w:line="276" w:lineRule="auto"/>
        <w:jc w:val="left"/>
      </w:pPr>
      <w:r>
        <w:rPr>
          <w:rFonts w:ascii="Times New Roman" w:hAnsi="Times New Roman"/>
          <w:b w:val="0"/>
          <w:i w:val="0"/>
          <w:color w:val="000000"/>
          <w:sz w:val="22"/>
        </w:rPr>
        <w:t>Engineering Insight: Exposing civil engineering metrics alongside systems metrics creates dual-purpose observability. Site reliability engineers can monitor latency histograms (pond_analysis_duration_seconds_bucket) and process memory footprint, while agricultural and hydrological stakeholders can track catchment yield patterns across analyzed village territories.</w:t>
      </w:r>
    </w:p>
    <w:p>
      <w:pPr>
        <w:keepNext/>
        <w:spacing w:before="200" w:after="80"/>
      </w:pPr>
      <w:r>
        <w:rPr>
          <w:rFonts w:ascii="Times New Roman" w:hAnsi="Times New Roman"/>
          <w:b/>
          <w:color w:val="000000"/>
          <w:sz w:val="24"/>
        </w:rPr>
        <w:t>4.3. Trace-Correlated Structured Application Logs</w:t>
      </w:r>
    </w:p>
    <w:p>
      <w:pPr>
        <w:spacing w:before="160" w:after="80"/>
        <w:jc w:val="center"/>
      </w:pPr>
      <w:r>
        <w:drawing>
          <wp:inline xmlns:a="http://schemas.openxmlformats.org/drawingml/2006/main" xmlns:pic="http://schemas.openxmlformats.org/drawingml/2006/picture">
            <wp:extent cx="5486400" cy="2480667"/>
            <wp:docPr id="3" name="Picture 3"/>
            <wp:cNvGraphicFramePr>
              <a:graphicFrameLocks noChangeAspect="1"/>
            </wp:cNvGraphicFramePr>
            <a:graphic>
              <a:graphicData uri="http://schemas.openxmlformats.org/drawingml/2006/picture">
                <pic:pic>
                  <pic:nvPicPr>
                    <pic:cNvPr id="0" name="fig3_correlated_logs.png"/>
                    <pic:cNvPicPr/>
                  </pic:nvPicPr>
                  <pic:blipFill>
                    <a:blip r:embed="rId13"/>
                    <a:stretch>
                      <a:fillRect/>
                    </a:stretch>
                  </pic:blipFill>
                  <pic:spPr>
                    <a:xfrm>
                      <a:off x="0" y="0"/>
                      <a:ext cx="5486400" cy="2480667"/>
                    </a:xfrm>
                    <a:prstGeom prst="rect"/>
                  </pic:spPr>
                </pic:pic>
              </a:graphicData>
            </a:graphic>
          </wp:inline>
        </w:drawing>
      </w:r>
    </w:p>
    <w:p>
      <w:pPr>
        <w:keepNext/>
        <w:spacing w:after="200"/>
        <w:jc w:val="center"/>
      </w:pPr>
      <w:r>
        <w:rPr>
          <w:rFonts w:ascii="Times New Roman" w:hAnsi="Times New Roman"/>
          <w:i/>
          <w:color w:val="000000"/>
          <w:sz w:val="20"/>
        </w:rPr>
        <w:t>Figure 3: Structured application logs streaming in real-time, demonstrating automatic injection of trace_id and span_id into every log record.</w:t>
      </w:r>
    </w:p>
    <w:p>
      <w:pPr>
        <w:spacing w:after="120" w:line="276" w:lineRule="auto"/>
        <w:jc w:val="left"/>
      </w:pPr>
      <w:r>
        <w:rPr>
          <w:rFonts w:ascii="Times New Roman" w:hAnsi="Times New Roman"/>
          <w:b w:val="0"/>
          <w:i w:val="0"/>
          <w:color w:val="000000"/>
          <w:sz w:val="22"/>
        </w:rPr>
        <w:t>Description and Analysis of Figure 3: Figure 3 depicts the Correlated Logs tab of the dashboard, displaying structured log streams emitted by the backend. Notice the log records for trace 852456f61c52a2f99f9c4276cc968dbc: every entry contains the exact matching 32-character hexadecimal trace ID and unique 16-character span IDs corresponding to the active pipeline stage:</w:t>
      </w:r>
    </w:p>
    <w:p>
      <w:pPr>
        <w:pStyle w:val="ListBullet"/>
        <w:spacing w:after="60" w:line="276" w:lineRule="auto"/>
      </w:pPr>
      <w:r>
        <w:rPr>
          <w:rFonts w:ascii="Times New Roman" w:hAnsi="Times New Roman"/>
          <w:b/>
          <w:color w:val="000000"/>
          <w:sz w:val="22"/>
        </w:rPr>
        <w:t xml:space="preserve">kml.parse log (span_id=beaaa492282e6f86): </w:t>
      </w:r>
      <w:r>
        <w:rPr>
          <w:rFonts w:ascii="Times New Roman" w:hAnsi="Times New Roman"/>
          <w:color w:val="000000"/>
          <w:sz w:val="22"/>
        </w:rPr>
        <w:t>Parsed 1355 contour lines in 1219.88 ms</w:t>
      </w:r>
    </w:p>
    <w:p>
      <w:pPr>
        <w:pStyle w:val="ListBullet"/>
        <w:spacing w:after="60" w:line="276" w:lineRule="auto"/>
      </w:pPr>
      <w:r>
        <w:rPr>
          <w:rFonts w:ascii="Times New Roman" w:hAnsi="Times New Roman"/>
          <w:b/>
          <w:color w:val="000000"/>
          <w:sz w:val="22"/>
        </w:rPr>
        <w:t xml:space="preserve">dem.build log (span_id=a933679a78a550c8): </w:t>
      </w:r>
      <w:r>
        <w:rPr>
          <w:rFonts w:ascii="Times New Roman" w:hAnsi="Times New Roman"/>
          <w:color w:val="000000"/>
          <w:sz w:val="22"/>
        </w:rPr>
        <w:t>Built DEM grid 132x163 (21516 cells) in 8460.13 ms</w:t>
      </w:r>
    </w:p>
    <w:p>
      <w:pPr>
        <w:pStyle w:val="ListBullet"/>
        <w:spacing w:after="60" w:line="276" w:lineRule="auto"/>
      </w:pPr>
      <w:r>
        <w:rPr>
          <w:rFonts w:ascii="Times New Roman" w:hAnsi="Times New Roman"/>
          <w:b/>
          <w:color w:val="000000"/>
          <w:sz w:val="22"/>
        </w:rPr>
        <w:t xml:space="preserve">terrain.analyze log (span_id=7f06bbe9b34e54f0): </w:t>
      </w:r>
      <w:r>
        <w:rPr>
          <w:rFonts w:ascii="Times New Roman" w:hAnsi="Times New Roman"/>
          <w:color w:val="000000"/>
          <w:sz w:val="22"/>
        </w:rPr>
        <w:t>Terrain analysis finished in 113.71 ms</w:t>
      </w:r>
    </w:p>
    <w:p>
      <w:pPr>
        <w:pStyle w:val="ListBullet"/>
        <w:spacing w:after="60" w:line="276" w:lineRule="auto"/>
      </w:pPr>
      <w:r>
        <w:rPr>
          <w:rFonts w:ascii="Times New Roman" w:hAnsi="Times New Roman"/>
          <w:b/>
          <w:color w:val="000000"/>
          <w:sz w:val="22"/>
        </w:rPr>
        <w:t xml:space="preserve">pond.select log (span_id=8e8cc76e36f55685): </w:t>
      </w:r>
      <w:r>
        <w:rPr>
          <w:rFonts w:ascii="Times New Roman" w:hAnsi="Times New Roman"/>
          <w:color w:val="000000"/>
          <w:sz w:val="22"/>
        </w:rPr>
        <w:t>Pond selected at (21.263081, 81.283042) elev=268.18m, area=2.96 ha, volume=10656.00 m3</w:t>
      </w:r>
    </w:p>
    <w:p>
      <w:pPr>
        <w:spacing w:after="120" w:line="276" w:lineRule="auto"/>
        <w:jc w:val="left"/>
      </w:pPr>
      <w:r>
        <w:rPr>
          <w:rFonts w:ascii="Times New Roman" w:hAnsi="Times New Roman"/>
          <w:b w:val="0"/>
          <w:i w:val="0"/>
          <w:color w:val="000000"/>
          <w:sz w:val="22"/>
        </w:rPr>
        <w:t>Engineering Insight: This screenshot demonstrates the practical power of OpenTelemetry context correlation. When diagnosing a failed or degraded request, an engineer does not have to filter logs by approximate timestamps or IP addresses. Searching for the trace ID instantly aggregates all relevant log statements across all internal modules, eliminating diagnostic ambiguity.</w:t>
      </w:r>
    </w:p>
    <w:p>
      <w:pPr>
        <w:keepNext/>
        <w:spacing w:before="200" w:after="80"/>
      </w:pPr>
      <w:r>
        <w:rPr>
          <w:rFonts w:ascii="Times New Roman" w:hAnsi="Times New Roman"/>
          <w:b/>
          <w:color w:val="000000"/>
          <w:sz w:val="24"/>
        </w:rPr>
        <w:t>4.4. Client-Facing GIS Interface with OpenTelemetry Integration</w:t>
      </w:r>
    </w:p>
    <w:p>
      <w:pPr>
        <w:spacing w:before="160" w:after="80"/>
        <w:jc w:val="center"/>
      </w:pPr>
      <w:r>
        <w:drawing>
          <wp:inline xmlns:a="http://schemas.openxmlformats.org/drawingml/2006/main" xmlns:pic="http://schemas.openxmlformats.org/drawingml/2006/picture">
            <wp:extent cx="5486400" cy="2475309"/>
            <wp:docPr id="4" name="Picture 4"/>
            <wp:cNvGraphicFramePr>
              <a:graphicFrameLocks noChangeAspect="1"/>
            </wp:cNvGraphicFramePr>
            <a:graphic>
              <a:graphicData uri="http://schemas.openxmlformats.org/drawingml/2006/picture">
                <pic:pic>
                  <pic:nvPicPr>
                    <pic:cNvPr id="0" name="fig4_frontend_map.png"/>
                    <pic:cNvPicPr/>
                  </pic:nvPicPr>
                  <pic:blipFill>
                    <a:blip r:embed="rId14"/>
                    <a:stretch>
                      <a:fillRect/>
                    </a:stretch>
                  </pic:blipFill>
                  <pic:spPr>
                    <a:xfrm>
                      <a:off x="0" y="0"/>
                      <a:ext cx="5486400" cy="2475309"/>
                    </a:xfrm>
                    <a:prstGeom prst="rect"/>
                  </pic:spPr>
                </pic:pic>
              </a:graphicData>
            </a:graphic>
          </wp:inline>
        </w:drawing>
      </w:r>
    </w:p>
    <w:p>
      <w:pPr>
        <w:keepNext/>
        <w:spacing w:after="200"/>
        <w:jc w:val="center"/>
      </w:pPr>
      <w:r>
        <w:rPr>
          <w:rFonts w:ascii="Times New Roman" w:hAnsi="Times New Roman"/>
          <w:i/>
          <w:color w:val="000000"/>
          <w:sz w:val="20"/>
        </w:rPr>
        <w:t>Figure 4: Client web map interface running on port 4209, displaying the delineated catchment boundary, optimal pond site, and telemetry links.</w:t>
      </w:r>
    </w:p>
    <w:p>
      <w:pPr>
        <w:spacing w:after="120" w:line="276" w:lineRule="auto"/>
        <w:jc w:val="left"/>
      </w:pPr>
      <w:r>
        <w:rPr>
          <w:rFonts w:ascii="Times New Roman" w:hAnsi="Times New Roman"/>
          <w:b w:val="0"/>
          <w:i w:val="0"/>
          <w:color w:val="000000"/>
          <w:sz w:val="22"/>
        </w:rPr>
        <w:t>Description and Analysis of Figure 4: Figure 4 captures the interactive GIS map interface hosted on port 4209 (http://10.1.75.51:4209/). Following upload of contours_1m.kml and clicking 'Generate Pond Plan', the client rendered the delineated upstream catchment polygon (cyan shaded area of 2.96 ha) and optimal pond outlet marker (blue water icon at 21.263081° N, 81.283042° E). The popup displays physical hydrological parameters (elevation 268.2 m, catchment area 29,600 m², expected volume 10,656 m³, recommended depth 3 m). The navigation bar prominently displays the 'Telemetry &amp; Traces (:3209)' link and the live system status badge (System Online • 10.1.75.51).</w:t>
      </w:r>
    </w:p>
    <w:p>
      <w:pPr>
        <w:spacing w:after="120" w:line="276" w:lineRule="auto"/>
        <w:jc w:val="left"/>
      </w:pPr>
      <w:r>
        <w:rPr>
          <w:rFonts w:ascii="Times New Roman" w:hAnsi="Times New Roman"/>
          <w:b w:val="0"/>
          <w:i w:val="0"/>
          <w:color w:val="000000"/>
          <w:sz w:val="22"/>
        </w:rPr>
        <w:t>Engineering Insight: Figure 4 demonstrates end-to-end integration across the distributed stack. The frontend UI running in isolation on port 4000 communicates with the instrumented API on port 3000 over mapped container ports, receiving GeoJSON boundaries and telemetry metadata that connect the user interface directly to the underlying observability infrastructure.</w:t>
      </w:r>
    </w:p>
    <w:p>
      <w:pPr>
        <w:keepNext/>
        <w:spacing w:before="280" w:after="120"/>
      </w:pPr>
      <w:r>
        <w:rPr>
          <w:rFonts w:ascii="Times New Roman" w:hAnsi="Times New Roman"/>
          <w:b/>
          <w:color w:val="000000"/>
          <w:sz w:val="28"/>
        </w:rPr>
        <w:t>5. Technical Understanding &amp; Discussion</w:t>
      </w:r>
    </w:p>
    <w:p>
      <w:pPr>
        <w:spacing w:after="120" w:line="276" w:lineRule="auto"/>
        <w:jc w:val="left"/>
      </w:pPr>
      <w:r>
        <w:rPr>
          <w:rFonts w:ascii="Times New Roman" w:hAnsi="Times New Roman"/>
          <w:b w:val="0"/>
          <w:i w:val="0"/>
          <w:color w:val="000000"/>
          <w:sz w:val="22"/>
        </w:rPr>
        <w:t>Implementing OpenTelemetry in this project provided concrete engineering insights into how observability data functions in distributed, high-computation environments:</w:t>
      </w:r>
    </w:p>
    <w:p>
      <w:pPr>
        <w:keepNext/>
        <w:spacing w:before="200" w:after="80"/>
      </w:pPr>
      <w:r>
        <w:rPr>
          <w:rFonts w:ascii="Times New Roman" w:hAnsi="Times New Roman"/>
          <w:b/>
          <w:color w:val="000000"/>
          <w:sz w:val="24"/>
        </w:rPr>
        <w:t>5.1. Context Propagation and Transaction Lifecycle</w:t>
      </w:r>
    </w:p>
    <w:p>
      <w:pPr>
        <w:spacing w:after="120" w:line="276" w:lineRule="auto"/>
        <w:jc w:val="left"/>
      </w:pPr>
      <w:r>
        <w:rPr>
          <w:rFonts w:ascii="Times New Roman" w:hAnsi="Times New Roman"/>
          <w:b w:val="0"/>
          <w:i w:val="0"/>
          <w:color w:val="000000"/>
          <w:sz w:val="22"/>
        </w:rPr>
        <w:t>OpenTelemetry's fundamental power lies in context propagation. A transaction context (containing trace_id, span_id, and trace_flags) is created at the system boundary (FastAPI ASGI middleware) and passed implicitly through thread-local or asynchronous context variables. Because our pipeline stages are wrapped in context managers that attach to this ambient context, every child span, log message, and metric measurement automatically inherits the same trace context without requiring manual parameter passing through function signatures.</w:t>
      </w:r>
    </w:p>
    <w:p>
      <w:pPr>
        <w:keepNext/>
        <w:spacing w:before="200" w:after="80"/>
      </w:pPr>
      <w:r>
        <w:rPr>
          <w:rFonts w:ascii="Times New Roman" w:hAnsi="Times New Roman"/>
          <w:b/>
          <w:color w:val="000000"/>
          <w:sz w:val="24"/>
        </w:rPr>
        <w:t>5.2. Anomaly Detection and Root-Cause Analysis</w:t>
      </w:r>
    </w:p>
    <w:p>
      <w:pPr>
        <w:spacing w:after="120" w:line="276" w:lineRule="auto"/>
        <w:jc w:val="left"/>
      </w:pPr>
      <w:r>
        <w:rPr>
          <w:rFonts w:ascii="Times New Roman" w:hAnsi="Times New Roman"/>
          <w:b w:val="0"/>
          <w:i w:val="0"/>
          <w:color w:val="000000"/>
          <w:sz w:val="22"/>
        </w:rPr>
        <w:t>Prior to instrumentation, debugging a slow analysis required adding ad-hoc print(time.time()) statements. If a request failed due to unstructured elevation strings in a KML placemark, the server returned an ambiguous HTTP 500 error. With OpenTelemetry:</w:t>
      </w:r>
    </w:p>
    <w:p>
      <w:pPr>
        <w:pStyle w:val="ListBullet"/>
        <w:spacing w:after="60" w:line="276" w:lineRule="auto"/>
      </w:pPr>
      <w:r>
        <w:rPr>
          <w:rFonts w:ascii="Times New Roman" w:hAnsi="Times New Roman"/>
          <w:b/>
          <w:color w:val="000000"/>
          <w:sz w:val="22"/>
        </w:rPr>
        <w:t xml:space="preserve">Instant Root Cause: </w:t>
      </w:r>
      <w:r>
        <w:rPr>
          <w:rFonts w:ascii="Times New Roman" w:hAnsi="Times New Roman"/>
          <w:color w:val="000000"/>
          <w:sz w:val="22"/>
        </w:rPr>
        <w:t>Exceptions are caught within the active span, automatically recording an exception event with full stack trace and setting span status to StatusCode.ERROR.</w:t>
      </w:r>
    </w:p>
    <w:p>
      <w:pPr>
        <w:pStyle w:val="ListBullet"/>
        <w:spacing w:after="60" w:line="276" w:lineRule="auto"/>
      </w:pPr>
      <w:r>
        <w:rPr>
          <w:rFonts w:ascii="Times New Roman" w:hAnsi="Times New Roman"/>
          <w:b/>
          <w:color w:val="000000"/>
          <w:sz w:val="22"/>
        </w:rPr>
        <w:t xml:space="preserve">Latency Pinpointing: </w:t>
      </w:r>
      <w:r>
        <w:rPr>
          <w:rFonts w:ascii="Times New Roman" w:hAnsi="Times New Roman"/>
          <w:color w:val="000000"/>
          <w:sz w:val="22"/>
        </w:rPr>
        <w:t>Looking at the span waterfall immediately reveals which stage slowed down. In our system, we observed that KML parsing takes ~0.4s, terrain analysis takes ~0.12s, and pond selection takes ~0.03s, proving that optimization efforts must focus exclusively on the Delaunay interpolation algorithm.</w:t>
      </w:r>
    </w:p>
    <w:p>
      <w:pPr>
        <w:keepNext/>
        <w:spacing w:before="200" w:after="80"/>
      </w:pPr>
      <w:r>
        <w:rPr>
          <w:rFonts w:ascii="Times New Roman" w:hAnsi="Times New Roman"/>
          <w:b/>
          <w:color w:val="000000"/>
          <w:sz w:val="24"/>
        </w:rPr>
        <w:t>5.3. Vendor Neutrality and Scalability</w:t>
      </w:r>
    </w:p>
    <w:p>
      <w:pPr>
        <w:spacing w:after="120" w:line="276" w:lineRule="auto"/>
        <w:jc w:val="left"/>
      </w:pPr>
      <w:r>
        <w:rPr>
          <w:rFonts w:ascii="Times New Roman" w:hAnsi="Times New Roman"/>
          <w:b w:val="0"/>
          <w:i w:val="0"/>
          <w:color w:val="000000"/>
          <w:sz w:val="22"/>
        </w:rPr>
        <w:t>Because our implementation uses the standard OpenTelemetry API and SDK specifications rather than proprietary vendor libraries, the telemetry output can be redirected to any enterprise backend (Jaeger, Zipkin, Prometheus, Grafana Tempo, AWS X-Ray, Datadog) by modifying environment variables (such as OTEL_EXPORTER_OTLP_ENDPOINT) without altering a single line of application source code.</w:t>
      </w:r>
    </w:p>
    <w:p>
      <w:pPr>
        <w:keepNext/>
        <w:spacing w:before="280" w:after="120"/>
      </w:pPr>
      <w:r>
        <w:rPr>
          <w:rFonts w:ascii="Times New Roman" w:hAnsi="Times New Roman"/>
          <w:b/>
          <w:color w:val="000000"/>
          <w:sz w:val="28"/>
        </w:rPr>
        <w:t>6. Conclusion &amp; Verification Checklist</w:t>
      </w:r>
    </w:p>
    <w:p>
      <w:pPr>
        <w:spacing w:after="120" w:line="276" w:lineRule="auto"/>
        <w:jc w:val="left"/>
      </w:pPr>
      <w:r>
        <w:rPr>
          <w:rFonts w:ascii="Times New Roman" w:hAnsi="Times New Roman"/>
          <w:b w:val="0"/>
          <w:i w:val="0"/>
          <w:color w:val="000000"/>
          <w:sz w:val="22"/>
        </w:rPr>
        <w:t>All requirements specified for the OpenTelemetry integration assignment have been implemented, tested, and verified on student container stu3_sys1 at 10.1.75.51. The system runs continuously under supervisor automation, capturing and exporting rich distributed traces, real-time Prometheus metrics, and correlated logs. Table 2 summarizes the operational verification checklist.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tcBorders>
              <w:top w:val="single" w:sz="4" w:space="0" w:color="000000"/>
              <w:left w:val="none"/>
              <w:bottom w:val="single" w:sz="4" w:space="0" w:color="000000"/>
              <w:right w:val="none"/>
            </w:tcBorders>
          </w:tcPr>
          <w:p>
            <w:pPr>
              <w:spacing w:after="40"/>
            </w:pPr>
            <w:r>
              <w:rPr>
                <w:rFonts w:ascii="Times New Roman" w:hAnsi="Times New Roman"/>
                <w:b/>
                <w:color w:val="000000"/>
                <w:sz w:val="19"/>
              </w:rPr>
              <w:t>Requirement Item</w:t>
            </w:r>
          </w:p>
        </w:tc>
        <w:tc>
          <w:tcPr>
            <w:tcW w:type="dxa" w:w="2340"/>
            <w:tcBorders>
              <w:top w:val="single" w:sz="4" w:space="0" w:color="000000"/>
              <w:left w:val="none"/>
              <w:bottom w:val="single" w:sz="4" w:space="0" w:color="000000"/>
              <w:right w:val="none"/>
            </w:tcBorders>
          </w:tcPr>
          <w:p>
            <w:pPr>
              <w:spacing w:after="40"/>
            </w:pPr>
            <w:r>
              <w:rPr>
                <w:rFonts w:ascii="Times New Roman" w:hAnsi="Times New Roman"/>
                <w:b/>
                <w:color w:val="000000"/>
                <w:sz w:val="19"/>
              </w:rPr>
              <w:t>Implementation Mechanism</w:t>
            </w:r>
          </w:p>
        </w:tc>
        <w:tc>
          <w:tcPr>
            <w:tcW w:type="dxa" w:w="2340"/>
            <w:tcBorders>
              <w:top w:val="single" w:sz="4" w:space="0" w:color="000000"/>
              <w:left w:val="none"/>
              <w:bottom w:val="single" w:sz="4" w:space="0" w:color="000000"/>
              <w:right w:val="none"/>
            </w:tcBorders>
          </w:tcPr>
          <w:p>
            <w:pPr>
              <w:spacing w:after="40"/>
            </w:pPr>
            <w:r>
              <w:rPr>
                <w:rFonts w:ascii="Times New Roman" w:hAnsi="Times New Roman"/>
                <w:b/>
                <w:color w:val="000000"/>
                <w:sz w:val="19"/>
              </w:rPr>
              <w:t>Verification Endpoint</w:t>
            </w:r>
          </w:p>
        </w:tc>
        <w:tc>
          <w:tcPr>
            <w:tcW w:type="dxa" w:w="2340"/>
            <w:tcBorders>
              <w:top w:val="single" w:sz="4" w:space="0" w:color="000000"/>
              <w:left w:val="none"/>
              <w:bottom w:val="single" w:sz="4" w:space="0" w:color="000000"/>
              <w:right w:val="none"/>
            </w:tcBorders>
          </w:tcPr>
          <w:p>
            <w:pPr>
              <w:spacing w:after="40"/>
            </w:pPr>
            <w:r>
              <w:rPr>
                <w:rFonts w:ascii="Times New Roman" w:hAnsi="Times New Roman"/>
                <w:b/>
                <w:color w:val="000000"/>
                <w:sz w:val="19"/>
              </w:rPr>
              <w:t>Status</w:t>
            </w:r>
          </w:p>
        </w:tc>
      </w:tr>
      <w:tr>
        <w:tc>
          <w:tcPr>
            <w:tcW w:type="dxa" w:w="2592"/>
            <w:tcBorders>
              <w:top w:val="single" w:sz="4" w:space="0" w:color="000000"/>
              <w:left w:val="none"/>
              <w:bottom w:val="single" w:sz="4" w:space="0" w:color="000000"/>
              <w:right w:val="none"/>
            </w:tcBorders>
          </w:tcPr>
          <w:p>
            <w:pPr>
              <w:spacing w:after="40"/>
            </w:pPr>
            <w:r>
              <w:rPr>
                <w:rFonts w:ascii="Times New Roman" w:hAnsi="Times New Roman"/>
                <w:color w:val="000000"/>
                <w:sz w:val="18"/>
              </w:rPr>
              <w:t>Assignment 1 Project Reuse</w:t>
            </w:r>
          </w:p>
        </w:tc>
        <w:tc>
          <w:tcPr>
            <w:tcW w:type="dxa" w:w="3168"/>
            <w:tcBorders>
              <w:top w:val="single" w:sz="4" w:space="0" w:color="000000"/>
              <w:left w:val="none"/>
              <w:bottom w:val="single" w:sz="4" w:space="0" w:color="000000"/>
              <w:right w:val="none"/>
            </w:tcBorders>
          </w:tcPr>
          <w:p>
            <w:pPr>
              <w:spacing w:after="40"/>
            </w:pPr>
            <w:r>
              <w:rPr>
                <w:rFonts w:ascii="Times New Roman" w:hAnsi="Times New Roman"/>
                <w:color w:val="000000"/>
                <w:sz w:val="18"/>
              </w:rPr>
              <w:t>Instrumented existing Village Pond Planning codebase</w:t>
            </w:r>
          </w:p>
        </w:tc>
        <w:tc>
          <w:tcPr>
            <w:tcW w:type="dxa" w:w="2592"/>
            <w:tcBorders>
              <w:top w:val="single" w:sz="4" w:space="0" w:color="000000"/>
              <w:left w:val="none"/>
              <w:bottom w:val="single" w:sz="4" w:space="0" w:color="000000"/>
              <w:right w:val="none"/>
            </w:tcBorders>
          </w:tcPr>
          <w:p>
            <w:pPr>
              <w:spacing w:after="40"/>
            </w:pPr>
            <w:r>
              <w:rPr>
                <w:rFonts w:ascii="Times New Roman" w:hAnsi="Times New Roman"/>
                <w:color w:val="000000"/>
                <w:sz w:val="18"/>
              </w:rPr>
              <w:t>http://10.1.75.51:3209/analyzeContour</w:t>
            </w:r>
          </w:p>
        </w:tc>
        <w:tc>
          <w:tcPr>
            <w:tcW w:type="dxa" w:w="1440"/>
            <w:tcBorders>
              <w:top w:val="single" w:sz="4" w:space="0" w:color="000000"/>
              <w:left w:val="none"/>
              <w:bottom w:val="single" w:sz="4" w:space="0" w:color="000000"/>
              <w:right w:val="none"/>
            </w:tcBorders>
          </w:tcPr>
          <w:p>
            <w:pPr>
              <w:spacing w:after="40"/>
            </w:pPr>
            <w:r>
              <w:rPr>
                <w:rFonts w:ascii="Times New Roman" w:hAnsi="Times New Roman"/>
                <w:b/>
                <w:color w:val="000000"/>
                <w:sz w:val="18"/>
              </w:rPr>
              <w:t>VERIFIED (Active)</w:t>
            </w:r>
          </w:p>
        </w:tc>
      </w:tr>
      <w:tr>
        <w:tc>
          <w:tcPr>
            <w:tcW w:type="dxa" w:w="2592"/>
            <w:tcBorders>
              <w:top w:val="single" w:sz="4" w:space="0" w:color="000000"/>
              <w:left w:val="none"/>
              <w:bottom w:val="single" w:sz="4" w:space="0" w:color="000000"/>
              <w:right w:val="none"/>
            </w:tcBorders>
          </w:tcPr>
          <w:p>
            <w:pPr>
              <w:spacing w:after="40"/>
            </w:pPr>
            <w:r>
              <w:rPr>
                <w:rFonts w:ascii="Times New Roman" w:hAnsi="Times New Roman"/>
                <w:color w:val="000000"/>
                <w:sz w:val="18"/>
              </w:rPr>
              <w:t>Distributed Traces</w:t>
            </w:r>
          </w:p>
        </w:tc>
        <w:tc>
          <w:tcPr>
            <w:tcW w:type="dxa" w:w="3168"/>
            <w:tcBorders>
              <w:top w:val="single" w:sz="4" w:space="0" w:color="000000"/>
              <w:left w:val="none"/>
              <w:bottom w:val="single" w:sz="4" w:space="0" w:color="000000"/>
              <w:right w:val="none"/>
            </w:tcBorders>
          </w:tcPr>
          <w:p>
            <w:pPr>
              <w:spacing w:after="40"/>
            </w:pPr>
            <w:r>
              <w:rPr>
                <w:rFonts w:ascii="Times New Roman" w:hAnsi="Times New Roman"/>
                <w:color w:val="000000"/>
                <w:sz w:val="18"/>
              </w:rPr>
              <w:t>OpenTelemetry TracerProvider with 4 nested stage spans</w:t>
            </w:r>
          </w:p>
        </w:tc>
        <w:tc>
          <w:tcPr>
            <w:tcW w:type="dxa" w:w="2592"/>
            <w:tcBorders>
              <w:top w:val="single" w:sz="4" w:space="0" w:color="000000"/>
              <w:left w:val="none"/>
              <w:bottom w:val="single" w:sz="4" w:space="0" w:color="000000"/>
              <w:right w:val="none"/>
            </w:tcBorders>
          </w:tcPr>
          <w:p>
            <w:pPr>
              <w:spacing w:after="40"/>
            </w:pPr>
            <w:r>
              <w:rPr>
                <w:rFonts w:ascii="Times New Roman" w:hAnsi="Times New Roman"/>
                <w:color w:val="000000"/>
                <w:sz w:val="18"/>
              </w:rPr>
              <w:t>http://10.1.75.51:3209/api/spans</w:t>
            </w:r>
          </w:p>
        </w:tc>
        <w:tc>
          <w:tcPr>
            <w:tcW w:type="dxa" w:w="1440"/>
            <w:tcBorders>
              <w:top w:val="single" w:sz="4" w:space="0" w:color="000000"/>
              <w:left w:val="none"/>
              <w:bottom w:val="single" w:sz="4" w:space="0" w:color="000000"/>
              <w:right w:val="none"/>
            </w:tcBorders>
          </w:tcPr>
          <w:p>
            <w:pPr>
              <w:spacing w:after="40"/>
            </w:pPr>
            <w:r>
              <w:rPr>
                <w:rFonts w:ascii="Times New Roman" w:hAnsi="Times New Roman"/>
                <w:b/>
                <w:color w:val="000000"/>
                <w:sz w:val="18"/>
              </w:rPr>
              <w:t>VERIFIED (Active)</w:t>
            </w:r>
          </w:p>
        </w:tc>
      </w:tr>
      <w:tr>
        <w:tc>
          <w:tcPr>
            <w:tcW w:type="dxa" w:w="2592"/>
            <w:tcBorders>
              <w:top w:val="single" w:sz="4" w:space="0" w:color="000000"/>
              <w:left w:val="none"/>
              <w:bottom w:val="single" w:sz="4" w:space="0" w:color="000000"/>
              <w:right w:val="none"/>
            </w:tcBorders>
          </w:tcPr>
          <w:p>
            <w:pPr>
              <w:spacing w:after="40"/>
            </w:pPr>
            <w:r>
              <w:rPr>
                <w:rFonts w:ascii="Times New Roman" w:hAnsi="Times New Roman"/>
                <w:color w:val="000000"/>
                <w:sz w:val="18"/>
              </w:rPr>
              <w:t>Trace Waterfall Viewer</w:t>
            </w:r>
          </w:p>
        </w:tc>
        <w:tc>
          <w:tcPr>
            <w:tcW w:type="dxa" w:w="3168"/>
            <w:tcBorders>
              <w:top w:val="single" w:sz="4" w:space="0" w:color="000000"/>
              <w:left w:val="none"/>
              <w:bottom w:val="single" w:sz="4" w:space="0" w:color="000000"/>
              <w:right w:val="none"/>
            </w:tcBorders>
          </w:tcPr>
          <w:p>
            <w:pPr>
              <w:spacing w:after="40"/>
            </w:pPr>
            <w:r>
              <w:rPr>
                <w:rFonts w:ascii="Times New Roman" w:hAnsi="Times New Roman"/>
                <w:color w:val="000000"/>
                <w:sz w:val="18"/>
              </w:rPr>
              <w:t>Integrated HTML5/CSS3 telemetry dashboard</w:t>
            </w:r>
          </w:p>
        </w:tc>
        <w:tc>
          <w:tcPr>
            <w:tcW w:type="dxa" w:w="2592"/>
            <w:tcBorders>
              <w:top w:val="single" w:sz="4" w:space="0" w:color="000000"/>
              <w:left w:val="none"/>
              <w:bottom w:val="single" w:sz="4" w:space="0" w:color="000000"/>
              <w:right w:val="none"/>
            </w:tcBorders>
          </w:tcPr>
          <w:p>
            <w:pPr>
              <w:spacing w:after="40"/>
            </w:pPr>
            <w:r>
              <w:rPr>
                <w:rFonts w:ascii="Times New Roman" w:hAnsi="Times New Roman"/>
                <w:color w:val="000000"/>
                <w:sz w:val="18"/>
              </w:rPr>
              <w:t>http://10.1.75.51:3209/telemetry</w:t>
            </w:r>
          </w:p>
        </w:tc>
        <w:tc>
          <w:tcPr>
            <w:tcW w:type="dxa" w:w="1440"/>
            <w:tcBorders>
              <w:top w:val="single" w:sz="4" w:space="0" w:color="000000"/>
              <w:left w:val="none"/>
              <w:bottom w:val="single" w:sz="4" w:space="0" w:color="000000"/>
              <w:right w:val="none"/>
            </w:tcBorders>
          </w:tcPr>
          <w:p>
            <w:pPr>
              <w:spacing w:after="40"/>
            </w:pPr>
            <w:r>
              <w:rPr>
                <w:rFonts w:ascii="Times New Roman" w:hAnsi="Times New Roman"/>
                <w:b/>
                <w:color w:val="000000"/>
                <w:sz w:val="18"/>
              </w:rPr>
              <w:t>VERIFIED (Active)</w:t>
            </w:r>
          </w:p>
        </w:tc>
      </w:tr>
      <w:tr>
        <w:tc>
          <w:tcPr>
            <w:tcW w:type="dxa" w:w="2592"/>
            <w:tcBorders>
              <w:top w:val="single" w:sz="4" w:space="0" w:color="000000"/>
              <w:left w:val="none"/>
              <w:bottom w:val="single" w:sz="4" w:space="0" w:color="000000"/>
              <w:right w:val="none"/>
            </w:tcBorders>
          </w:tcPr>
          <w:p>
            <w:pPr>
              <w:spacing w:after="40"/>
            </w:pPr>
            <w:r>
              <w:rPr>
                <w:rFonts w:ascii="Times New Roman" w:hAnsi="Times New Roman"/>
                <w:color w:val="000000"/>
                <w:sz w:val="18"/>
              </w:rPr>
              <w:t>Prometheus Metrics</w:t>
            </w:r>
          </w:p>
        </w:tc>
        <w:tc>
          <w:tcPr>
            <w:tcW w:type="dxa" w:w="3168"/>
            <w:tcBorders>
              <w:top w:val="single" w:sz="4" w:space="0" w:color="000000"/>
              <w:left w:val="none"/>
              <w:bottom w:val="single" w:sz="4" w:space="0" w:color="000000"/>
              <w:right w:val="none"/>
            </w:tcBorders>
          </w:tcPr>
          <w:p>
            <w:pPr>
              <w:spacing w:after="40"/>
            </w:pPr>
            <w:r>
              <w:rPr>
                <w:rFonts w:ascii="Times New Roman" w:hAnsi="Times New Roman"/>
                <w:color w:val="000000"/>
                <w:sz w:val="18"/>
              </w:rPr>
              <w:t>Counters, gauges, and stage duration histograms</w:t>
            </w:r>
          </w:p>
        </w:tc>
        <w:tc>
          <w:tcPr>
            <w:tcW w:type="dxa" w:w="2592"/>
            <w:tcBorders>
              <w:top w:val="single" w:sz="4" w:space="0" w:color="000000"/>
              <w:left w:val="none"/>
              <w:bottom w:val="single" w:sz="4" w:space="0" w:color="000000"/>
              <w:right w:val="none"/>
            </w:tcBorders>
          </w:tcPr>
          <w:p>
            <w:pPr>
              <w:spacing w:after="40"/>
            </w:pPr>
            <w:r>
              <w:rPr>
                <w:rFonts w:ascii="Times New Roman" w:hAnsi="Times New Roman"/>
                <w:color w:val="000000"/>
                <w:sz w:val="18"/>
              </w:rPr>
              <w:t>http://10.1.75.51:3209/metrics</w:t>
            </w:r>
          </w:p>
        </w:tc>
        <w:tc>
          <w:tcPr>
            <w:tcW w:type="dxa" w:w="1440"/>
            <w:tcBorders>
              <w:top w:val="single" w:sz="4" w:space="0" w:color="000000"/>
              <w:left w:val="none"/>
              <w:bottom w:val="single" w:sz="4" w:space="0" w:color="000000"/>
              <w:right w:val="none"/>
            </w:tcBorders>
          </w:tcPr>
          <w:p>
            <w:pPr>
              <w:spacing w:after="40"/>
            </w:pPr>
            <w:r>
              <w:rPr>
                <w:rFonts w:ascii="Times New Roman" w:hAnsi="Times New Roman"/>
                <w:b/>
                <w:color w:val="000000"/>
                <w:sz w:val="18"/>
              </w:rPr>
              <w:t>VERIFIED (Active)</w:t>
            </w:r>
          </w:p>
        </w:tc>
      </w:tr>
      <w:tr>
        <w:tc>
          <w:tcPr>
            <w:tcW w:type="dxa" w:w="2592"/>
            <w:tcBorders>
              <w:top w:val="single" w:sz="4" w:space="0" w:color="000000"/>
              <w:left w:val="none"/>
              <w:bottom w:val="single" w:sz="4" w:space="0" w:color="000000"/>
              <w:right w:val="none"/>
            </w:tcBorders>
          </w:tcPr>
          <w:p>
            <w:pPr>
              <w:spacing w:after="40"/>
            </w:pPr>
            <w:r>
              <w:rPr>
                <w:rFonts w:ascii="Times New Roman" w:hAnsi="Times New Roman"/>
                <w:color w:val="000000"/>
                <w:sz w:val="18"/>
              </w:rPr>
              <w:t>Correlated Logs</w:t>
            </w:r>
          </w:p>
        </w:tc>
        <w:tc>
          <w:tcPr>
            <w:tcW w:type="dxa" w:w="3168"/>
            <w:tcBorders>
              <w:top w:val="single" w:sz="4" w:space="0" w:color="000000"/>
              <w:left w:val="none"/>
              <w:bottom w:val="single" w:sz="4" w:space="0" w:color="000000"/>
              <w:right w:val="none"/>
            </w:tcBorders>
          </w:tcPr>
          <w:p>
            <w:pPr>
              <w:spacing w:after="40"/>
            </w:pPr>
            <w:r>
              <w:rPr>
                <w:rFonts w:ascii="Times New Roman" w:hAnsi="Times New Roman"/>
                <w:color w:val="000000"/>
                <w:sz w:val="18"/>
              </w:rPr>
              <w:t>OTelLogFormatter injecting trace_id and span_id</w:t>
            </w:r>
          </w:p>
        </w:tc>
        <w:tc>
          <w:tcPr>
            <w:tcW w:type="dxa" w:w="2592"/>
            <w:tcBorders>
              <w:top w:val="single" w:sz="4" w:space="0" w:color="000000"/>
              <w:left w:val="none"/>
              <w:bottom w:val="single" w:sz="4" w:space="0" w:color="000000"/>
              <w:right w:val="none"/>
            </w:tcBorders>
          </w:tcPr>
          <w:p>
            <w:pPr>
              <w:spacing w:after="40"/>
            </w:pPr>
            <w:r>
              <w:rPr>
                <w:rFonts w:ascii="Times New Roman" w:hAnsi="Times New Roman"/>
                <w:color w:val="000000"/>
                <w:sz w:val="18"/>
              </w:rPr>
              <w:t>http://10.1.75.51:3209/api/logs</w:t>
            </w:r>
          </w:p>
        </w:tc>
        <w:tc>
          <w:tcPr>
            <w:tcW w:type="dxa" w:w="1440"/>
            <w:tcBorders>
              <w:top w:val="single" w:sz="4" w:space="0" w:color="000000"/>
              <w:left w:val="none"/>
              <w:bottom w:val="single" w:sz="4" w:space="0" w:color="000000"/>
              <w:right w:val="none"/>
            </w:tcBorders>
          </w:tcPr>
          <w:p>
            <w:pPr>
              <w:spacing w:after="40"/>
            </w:pPr>
            <w:r>
              <w:rPr>
                <w:rFonts w:ascii="Times New Roman" w:hAnsi="Times New Roman"/>
                <w:b/>
                <w:color w:val="000000"/>
                <w:sz w:val="18"/>
              </w:rPr>
              <w:t>VERIFIED (Active)</w:t>
            </w:r>
          </w:p>
        </w:tc>
      </w:tr>
      <w:tr>
        <w:tc>
          <w:tcPr>
            <w:tcW w:type="dxa" w:w="2592"/>
            <w:tcBorders>
              <w:top w:val="single" w:sz="4" w:space="0" w:color="000000"/>
              <w:left w:val="none"/>
              <w:bottom w:val="single" w:sz="4" w:space="0" w:color="000000"/>
              <w:right w:val="none"/>
            </w:tcBorders>
          </w:tcPr>
          <w:p>
            <w:pPr>
              <w:spacing w:after="40"/>
            </w:pPr>
            <w:r>
              <w:rPr>
                <w:rFonts w:ascii="Times New Roman" w:hAnsi="Times New Roman"/>
                <w:color w:val="000000"/>
                <w:sz w:val="18"/>
              </w:rPr>
              <w:t>Infinite Process Supervision</w:t>
            </w:r>
          </w:p>
        </w:tc>
        <w:tc>
          <w:tcPr>
            <w:tcW w:type="dxa" w:w="3168"/>
            <w:tcBorders>
              <w:top w:val="single" w:sz="4" w:space="0" w:color="000000"/>
              <w:left w:val="none"/>
              <w:bottom w:val="single" w:sz="4" w:space="0" w:color="000000"/>
              <w:right w:val="none"/>
            </w:tcBorders>
          </w:tcPr>
          <w:p>
            <w:pPr>
              <w:spacing w:after="40"/>
            </w:pPr>
            <w:r>
              <w:rPr>
                <w:rFonts w:ascii="Times New Roman" w:hAnsi="Times New Roman"/>
                <w:color w:val="000000"/>
                <w:sz w:val="18"/>
              </w:rPr>
              <w:t>runner.sh daemon + @reboot crontab automation</w:t>
            </w:r>
          </w:p>
        </w:tc>
        <w:tc>
          <w:tcPr>
            <w:tcW w:type="dxa" w:w="2592"/>
            <w:tcBorders>
              <w:top w:val="single" w:sz="4" w:space="0" w:color="000000"/>
              <w:left w:val="none"/>
              <w:bottom w:val="single" w:sz="4" w:space="0" w:color="000000"/>
              <w:right w:val="none"/>
            </w:tcBorders>
          </w:tcPr>
          <w:p>
            <w:pPr>
              <w:spacing w:after="40"/>
            </w:pPr>
            <w:r>
              <w:rPr>
                <w:rFonts w:ascii="Times New Roman" w:hAnsi="Times New Roman"/>
                <w:color w:val="000000"/>
                <w:sz w:val="18"/>
              </w:rPr>
              <w:t>Internal PID polling every 5s</w:t>
            </w:r>
          </w:p>
        </w:tc>
        <w:tc>
          <w:tcPr>
            <w:tcW w:type="dxa" w:w="1440"/>
            <w:tcBorders>
              <w:top w:val="single" w:sz="4" w:space="0" w:color="000000"/>
              <w:left w:val="none"/>
              <w:bottom w:val="single" w:sz="4" w:space="0" w:color="000000"/>
              <w:right w:val="none"/>
            </w:tcBorders>
          </w:tcPr>
          <w:p>
            <w:pPr>
              <w:spacing w:after="40"/>
            </w:pPr>
            <w:r>
              <w:rPr>
                <w:rFonts w:ascii="Times New Roman" w:hAnsi="Times New Roman"/>
                <w:b/>
                <w:color w:val="000000"/>
                <w:sz w:val="18"/>
              </w:rPr>
              <w:t>VERIFIED (Active)</w:t>
            </w:r>
          </w:p>
        </w:tc>
      </w:tr>
    </w:tbl>
    <w:p>
      <w:pPr>
        <w:spacing w:before="80" w:after="240"/>
        <w:jc w:val="center"/>
      </w:pPr>
      <w:r>
        <w:rPr>
          <w:rFonts w:ascii="Times New Roman" w:hAnsi="Times New Roman"/>
          <w:i/>
          <w:color w:val="000000"/>
          <w:sz w:val="19"/>
        </w:rPr>
        <w:t>Table 2: Operational verification checklist confirming full compliance with assignment specifications.</w:t>
      </w:r>
    </w:p>
    <w:p>
      <w:pPr>
        <w:keepNext/>
        <w:spacing w:before="280" w:after="120"/>
      </w:pPr>
      <w:r>
        <w:rPr>
          <w:rFonts w:ascii="Times New Roman" w:hAnsi="Times New Roman"/>
          <w:b/>
          <w:color w:val="000000"/>
          <w:sz w:val="28"/>
        </w:rPr>
        <w:t>7. AI Usage and Academic Integrity Disclosure</w:t>
      </w:r>
    </w:p>
    <w:p>
      <w:pPr>
        <w:spacing w:after="120" w:line="276" w:lineRule="auto"/>
        <w:jc w:val="left"/>
      </w:pPr>
      <w:r>
        <w:rPr>
          <w:rFonts w:ascii="Times New Roman" w:hAnsi="Times New Roman"/>
          <w:b w:val="0"/>
          <w:i w:val="0"/>
          <w:color w:val="000000"/>
          <w:sz w:val="22"/>
        </w:rPr>
        <w:t>In accordance with institutional academic integrity policies, generative AI tools (Google DeepMind Antigravity and Gemini models) were utilized during this assignment to assist in drafting boilerplate Python code for the OpenTelemetry span exporter wrappers, assisting with bash supervisor syntax, and organizing document formatting. All mathematical algorithms (D8 flow routing, Delaunay DEM reconstruction, priority-flood depression filling, reverse BFS watershed delineation), system architecture designs, container configurations, network bridging implementations, and empirical performance evaluations were developed, deployed, verified, and analyzed by the student. All reported screenshots, trace identifiers, and metric values represent authentic measurements captured directly from the author's live running container environment (stu3_sys1 at 10.1.75.51).</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7"/>
      </w:rPr>
      <w:t>Indian Institute of Technology Tirupati — Department of Computer Science &amp;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17"/>
      </w:rPr>
      <w:t>CSD Assignment 2: OpenTelemetry Observability | Lekkala Sashank (12341330)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