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47A1"/>
          <w:sz w:val="72"/>
        </w:rPr>
        <w:t>DECODE X 2026</w:t>
      </w:r>
    </w:p>
    <w:p>
      <w:pPr>
        <w:jc w:val="center"/>
      </w:pPr>
      <w:r>
        <w:rPr>
          <w:color w:val="424242"/>
          <w:sz w:val="40"/>
        </w:rPr>
        <w:t>Dubai RTA Bus Network</w:t>
        <w:br/>
        <w:t>Strategic Advisory Submission</w:t>
      </w:r>
    </w:p>
    <w:p/>
    <w:p>
      <w:pPr>
        <w:jc w:val="center"/>
      </w:pPr>
      <w:r>
        <w:rPr>
          <w:i/>
          <w:color w:val="F57C00"/>
          <w:sz w:val="26"/>
        </w:rPr>
        <w:t>Mobility Shift: Demand Diagnostics, Forecasting &amp; Fleet Optimization</w:t>
      </w:r>
    </w:p>
    <w:p/>
    <w:p/>
    <w:p>
      <w:pPr>
        <w:jc w:val="center"/>
      </w:pPr>
      <w:r>
        <w:rPr>
          <w:color w:val="616161"/>
          <w:sz w:val="22"/>
        </w:rPr>
        <w:t>Stage 1 — Pre-Shock Analysis</w:t>
        <w:br/>
        <w:t>Advisory Mandate: Multi-Year Demand Diagnostics &amp; Route-Level Forecasting</w:t>
        <w:br/>
        <w:br/>
        <w:t>Data Scope: 12 Routes | 56 Stops | 7 Zones | 1,277 Days</w:t>
        <w:br/>
        <w:t>Dataset: 195,381 route-stop-day observations (Jan 2022 – Jun 2025)</w:t>
      </w:r>
    </w:p>
    <w:p>
      <w:r>
        <w:br w:type="page"/>
      </w:r>
    </w:p>
    <w:p>
      <w:pPr>
        <w:pStyle w:val="Heading1"/>
      </w:pPr>
      <w:r>
        <w:t>Executive Summary</w:t>
      </w:r>
    </w:p>
    <w:p>
      <w:pPr>
        <w:pBdr>
          <w:bottom w:val="single" w:sz="6" w:space="1" w:color="0D47A1"/>
        </w:pBdr>
      </w:pPr>
    </w:p>
    <w:p>
      <w:r>
        <w:t>This report presents a comprehensive analysis of Dubai RTA's bus network spanning 2022 to H1 2025, with demand forecasts for H2 2025 and actionable fleet optimization proposals. The analysis covers 12 routes across 7 zones serving a projected 11.1 million annual passengers.</w:t>
      </w:r>
    </w:p>
    <w:p>
      <w:pPr>
        <w:pStyle w:val="Heading3"/>
      </w:pPr>
      <w:r>
        <w:t>Key Findings at a Glance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Value</w:t>
            </w:r>
          </w:p>
        </w:tc>
        <w:tc>
          <w:tcPr>
            <w:tcW w:type="dxa" w:w="2880"/>
          </w:tcPr>
          <w:p>
            <w:pPr>
              <w:jc w:val="center"/>
            </w:pPr>
            <w:r>
              <w:rPr>
                <w:b/>
                <w:sz w:val="20"/>
              </w:rPr>
              <w:t>Significance</w:t>
            </w:r>
          </w:p>
        </w:tc>
      </w:tr>
      <w:tr>
        <w:tc>
          <w:tcPr>
            <w:tcW w:type="dxa" w:w="2880"/>
          </w:tcPr>
          <w:p>
            <w:pPr>
              <w:jc w:val="center"/>
            </w:pPr>
            <w:r>
              <w:rPr>
                <w:sz w:val="20"/>
              </w:rPr>
              <w:t>Annual Demand (2024)</w:t>
            </w:r>
          </w:p>
        </w:tc>
        <w:tc>
          <w:tcPr>
            <w:tcW w:type="dxa" w:w="2880"/>
          </w:tcPr>
          <w:p>
            <w:pPr>
              <w:jc w:val="center"/>
            </w:pPr>
            <w:r>
              <w:rPr>
                <w:sz w:val="20"/>
              </w:rPr>
              <w:t>10.3M passengers</w:t>
            </w:r>
          </w:p>
        </w:tc>
        <w:tc>
          <w:tcPr>
            <w:tcW w:type="dxa" w:w="2880"/>
          </w:tcPr>
          <w:p>
            <w:pPr>
              <w:jc w:val="center"/>
            </w:pPr>
            <w:r>
              <w:rPr>
                <w:sz w:val="20"/>
              </w:rPr>
              <w:t>All-time high</w:t>
            </w:r>
          </w:p>
        </w:tc>
      </w:tr>
      <w:tr>
        <w:tc>
          <w:tcPr>
            <w:tcW w:type="dxa" w:w="2880"/>
          </w:tcPr>
          <w:p>
            <w:pPr>
              <w:jc w:val="center"/>
            </w:pPr>
            <w:r>
              <w:rPr>
                <w:sz w:val="20"/>
              </w:rPr>
              <w:t>Growth Rate</w:t>
            </w:r>
          </w:p>
        </w:tc>
        <w:tc>
          <w:tcPr>
            <w:tcW w:type="dxa" w:w="2880"/>
          </w:tcPr>
          <w:p>
            <w:pPr>
              <w:jc w:val="center"/>
            </w:pPr>
            <w:r>
              <w:rPr>
                <w:sz w:val="20"/>
              </w:rPr>
              <w:t>+13.1% (2023→24)</w:t>
            </w:r>
          </w:p>
        </w:tc>
        <w:tc>
          <w:tcPr>
            <w:tcW w:type="dxa" w:w="2880"/>
          </w:tcPr>
          <w:p>
            <w:pPr>
              <w:jc w:val="center"/>
            </w:pPr>
            <w:r>
              <w:rPr>
                <w:sz w:val="20"/>
              </w:rPr>
              <w:t>Accelerating YoY</w:t>
            </w:r>
          </w:p>
        </w:tc>
      </w:tr>
      <w:tr>
        <w:tc>
          <w:tcPr>
            <w:tcW w:type="dxa" w:w="2880"/>
          </w:tcPr>
          <w:p>
            <w:pPr>
              <w:jc w:val="center"/>
            </w:pPr>
            <w:r>
              <w:rPr>
                <w:sz w:val="20"/>
              </w:rPr>
              <w:t>2025 Projection</w:t>
            </w:r>
          </w:p>
        </w:tc>
        <w:tc>
          <w:tcPr>
            <w:tcW w:type="dxa" w:w="2880"/>
          </w:tcPr>
          <w:p>
            <w:pPr>
              <w:jc w:val="center"/>
            </w:pPr>
            <w:r>
              <w:rPr>
                <w:sz w:val="20"/>
              </w:rPr>
              <w:t>11.1M passengers</w:t>
            </w:r>
          </w:p>
        </w:tc>
        <w:tc>
          <w:tcPr>
            <w:tcW w:type="dxa" w:w="2880"/>
          </w:tcPr>
          <w:p>
            <w:pPr>
              <w:jc w:val="center"/>
            </w:pPr>
            <w:r>
              <w:rPr>
                <w:sz w:val="20"/>
              </w:rPr>
              <w:t>+7.9% vs 2024</w:t>
            </w:r>
          </w:p>
        </w:tc>
      </w:tr>
      <w:tr>
        <w:tc>
          <w:tcPr>
            <w:tcW w:type="dxa" w:w="2880"/>
          </w:tcPr>
          <w:p>
            <w:pPr>
              <w:jc w:val="center"/>
            </w:pPr>
            <w:r>
              <w:rPr>
                <w:sz w:val="20"/>
              </w:rPr>
              <w:t>Seasonal Swing</w:t>
            </w:r>
          </w:p>
        </w:tc>
        <w:tc>
          <w:tcPr>
            <w:tcW w:type="dxa" w:w="2880"/>
          </w:tcPr>
          <w:p>
            <w:pPr>
              <w:jc w:val="center"/>
            </w:pPr>
            <w:r>
              <w:rPr>
                <w:sz w:val="20"/>
              </w:rPr>
              <w:t>31% winter-to-summer</w:t>
            </w:r>
          </w:p>
        </w:tc>
        <w:tc>
          <w:tcPr>
            <w:tcW w:type="dxa" w:w="2880"/>
          </w:tcPr>
          <w:p>
            <w:pPr>
              <w:jc w:val="center"/>
            </w:pPr>
            <w:r>
              <w:rPr>
                <w:sz w:val="20"/>
              </w:rPr>
              <w:t>Strongest demand driver</w:t>
            </w:r>
          </w:p>
        </w:tc>
      </w:tr>
      <w:tr>
        <w:tc>
          <w:tcPr>
            <w:tcW w:type="dxa" w:w="2880"/>
          </w:tcPr>
          <w:p>
            <w:pPr>
              <w:jc w:val="center"/>
            </w:pPr>
            <w:r>
              <w:rPr>
                <w:sz w:val="20"/>
              </w:rPr>
              <w:t>Most Overloaded</w:t>
            </w:r>
          </w:p>
        </w:tc>
        <w:tc>
          <w:tcPr>
            <w:tcW w:type="dxa" w:w="2880"/>
          </w:tcPr>
          <w:p>
            <w:pPr>
              <w:jc w:val="center"/>
            </w:pPr>
            <w:r>
              <w:rPr>
                <w:sz w:val="20"/>
              </w:rPr>
              <w:t>Route X28 (Express)</w:t>
            </w:r>
          </w:p>
        </w:tc>
        <w:tc>
          <w:tcPr>
            <w:tcW w:type="dxa" w:w="2880"/>
          </w:tcPr>
          <w:p>
            <w:pPr>
              <w:jc w:val="center"/>
            </w:pPr>
            <w:r>
              <w:rPr>
                <w:sz w:val="20"/>
              </w:rPr>
              <w:t>Risk score: 89/100</w:t>
            </w:r>
          </w:p>
        </w:tc>
      </w:tr>
      <w:tr>
        <w:tc>
          <w:tcPr>
            <w:tcW w:type="dxa" w:w="2880"/>
          </w:tcPr>
          <w:p>
            <w:pPr>
              <w:jc w:val="center"/>
            </w:pPr>
            <w:r>
              <w:rPr>
                <w:sz w:val="20"/>
              </w:rPr>
              <w:t>Most Underutilized</w:t>
            </w:r>
          </w:p>
        </w:tc>
        <w:tc>
          <w:tcPr>
            <w:tcW w:type="dxa" w:w="2880"/>
          </w:tcPr>
          <w:p>
            <w:pPr>
              <w:jc w:val="center"/>
            </w:pPr>
            <w:r>
              <w:rPr>
                <w:sz w:val="20"/>
              </w:rPr>
              <w:t>Route F18 (Feeder)</w:t>
            </w:r>
          </w:p>
        </w:tc>
        <w:tc>
          <w:tcPr>
            <w:tcW w:type="dxa" w:w="2880"/>
          </w:tcPr>
          <w:p>
            <w:pPr>
              <w:jc w:val="center"/>
            </w:pPr>
            <w:r>
              <w:rPr>
                <w:sz w:val="20"/>
              </w:rPr>
              <w:t>Waste score: 88/100</w:t>
            </w:r>
          </w:p>
        </w:tc>
      </w:tr>
      <w:tr>
        <w:tc>
          <w:tcPr>
            <w:tcW w:type="dxa" w:w="2880"/>
          </w:tcPr>
          <w:p>
            <w:pPr>
              <w:jc w:val="center"/>
            </w:pPr>
            <w:r>
              <w:rPr>
                <w:sz w:val="20"/>
              </w:rPr>
              <w:t>Reallocation Opportunity</w:t>
            </w:r>
          </w:p>
        </w:tc>
        <w:tc>
          <w:tcPr>
            <w:tcW w:type="dxa" w:w="2880"/>
          </w:tcPr>
          <w:p>
            <w:pPr>
              <w:jc w:val="center"/>
            </w:pPr>
            <w:r>
              <w:rPr>
                <w:sz w:val="20"/>
              </w:rPr>
              <w:t>11 buses</w:t>
            </w:r>
          </w:p>
        </w:tc>
        <w:tc>
          <w:tcPr>
            <w:tcW w:type="dxa" w:w="2880"/>
          </w:tcPr>
          <w:p>
            <w:pPr>
              <w:jc w:val="center"/>
            </w:pPr>
            <w:r>
              <w:rPr>
                <w:sz w:val="20"/>
              </w:rPr>
              <w:t>Zero capital expenditure</w:t>
            </w:r>
          </w:p>
        </w:tc>
      </w:tr>
      <w:tr>
        <w:tc>
          <w:tcPr>
            <w:tcW w:type="dxa" w:w="2880"/>
          </w:tcPr>
          <w:p>
            <w:pPr>
              <w:jc w:val="center"/>
            </w:pPr>
            <w:r>
              <w:rPr>
                <w:sz w:val="20"/>
              </w:rPr>
              <w:t>Bottleneck Zone</w:t>
            </w:r>
          </w:p>
        </w:tc>
        <w:tc>
          <w:tcPr>
            <w:tcW w:type="dxa" w:w="2880"/>
          </w:tcPr>
          <w:p>
            <w:pPr>
              <w:jc w:val="center"/>
            </w:pPr>
            <w:r>
              <w:rPr>
                <w:sz w:val="20"/>
              </w:rPr>
              <w:t>Coastal Marina</w:t>
            </w:r>
          </w:p>
        </w:tc>
        <w:tc>
          <w:tcPr>
            <w:tcW w:type="dxa" w:w="2880"/>
          </w:tcPr>
          <w:p>
            <w:pPr>
              <w:jc w:val="center"/>
            </w:pPr>
            <w:r>
              <w:rPr>
                <w:sz w:val="20"/>
              </w:rPr>
              <w:t>326 pax/dwell-min at Stop 31</w:t>
            </w:r>
          </w:p>
        </w:tc>
      </w:tr>
    </w:tbl>
    <w:p/>
    <w:p>
      <w:r>
        <w:t>Bottom line: The network faces accelerating demand on Express corridors while Feeder and Intercity routes carry excess capacity. A budget-neutral reallocation of 11 buses can reduce headways on critical corridors by up to 38% with zero additional investment.</w:t>
      </w:r>
    </w:p>
    <w:p>
      <w:r>
        <w:br w:type="page"/>
      </w:r>
    </w:p>
    <w:p>
      <w:pPr>
        <w:pStyle w:val="Heading1"/>
      </w:pPr>
      <w:r>
        <w:t>1. Multi-Year Demand Dynamics (2022–H1 2025)</w:t>
      </w:r>
    </w:p>
    <w:p>
      <w:pPr>
        <w:pBdr>
          <w:bottom w:val="single" w:sz="6" w:space="1" w:color="0D47A1"/>
        </w:pBdr>
      </w:pPr>
    </w:p>
    <w:p>
      <w:r>
        <w:t>The Dubai RTA bus network has experienced sustained and accelerating demand growth over the past 3.5 years. Total annual ridership grew from 8.4 million in 2022 to 10.3 million in 2024 — a cumulative increase of 23%. Critically, the growth rate itself is accelerating: +9.2% in 2023, followed by +13.1% in 2024.</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2_yearly_growth.png"/>
                    <pic:cNvPicPr/>
                  </pic:nvPicPr>
                  <pic:blipFill>
                    <a:blip r:embed="rId9"/>
                    <a:stretch>
                      <a:fillRect/>
                    </a:stretch>
                  </pic:blipFill>
                  <pic:spPr>
                    <a:xfrm>
                      <a:off x="0" y="0"/>
                      <a:ext cx="5669280" cy="3401568"/>
                    </a:xfrm>
                    <a:prstGeom prst="rect"/>
                  </pic:spPr>
                </pic:pic>
              </a:graphicData>
            </a:graphic>
          </wp:inline>
        </w:drawing>
      </w:r>
    </w:p>
    <w:p>
      <w:pPr>
        <w:jc w:val="center"/>
      </w:pPr>
      <w:r>
        <w:rPr>
          <w:i/>
          <w:color w:val="616161"/>
          <w:sz w:val="18"/>
        </w:rPr>
        <w:t>Figure 1: Yearly passenger totals showing accelerating growth (2025 = H1 actual only)</w:t>
      </w:r>
    </w:p>
    <w:p>
      <w:pPr>
        <w:pStyle w:val="Heading2"/>
      </w:pPr>
      <w:r>
        <w:t>Growth Decomposition by Route Type</w:t>
      </w:r>
    </w:p>
    <w:p>
      <w:r>
        <w:t>Breaking down growth by route type reveals that all four categories (City, Express, Feeder, Intercity) are growing in parallel — no single segment is shrinking. City routes remain the largest contributor, growing from 3.6M to 5.5M projected for 2025. Express routes show the steepest per-route growth rate, compounding the overload risk.</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13_growth_decomposition.png"/>
                    <pic:cNvPicPr/>
                  </pic:nvPicPr>
                  <pic:blipFill>
                    <a:blip r:embed="rId10"/>
                    <a:stretch>
                      <a:fillRect/>
                    </a:stretch>
                  </pic:blipFill>
                  <pic:spPr>
                    <a:xfrm>
                      <a:off x="0" y="0"/>
                      <a:ext cx="5669280" cy="3307080"/>
                    </a:xfrm>
                    <a:prstGeom prst="rect"/>
                  </pic:spPr>
                </pic:pic>
              </a:graphicData>
            </a:graphic>
          </wp:inline>
        </w:drawing>
      </w:r>
    </w:p>
    <w:p>
      <w:pPr>
        <w:jc w:val="center"/>
      </w:pPr>
      <w:r>
        <w:rPr>
          <w:i/>
          <w:color w:val="616161"/>
          <w:sz w:val="18"/>
        </w:rPr>
        <w:t>Figure 2: Growth decomposition by route type — all segments grow in parallel (hatched = H2 2025 forecast)</w:t>
      </w:r>
    </w:p>
    <w:p>
      <w:pPr>
        <w:pStyle w:val="Heading2"/>
      </w:pPr>
      <w:r>
        <w:t>Monthly Demand Timeline</w:t>
      </w:r>
    </w:p>
    <w:p>
      <w:r>
        <w:t>The monthly timeline reveals a clear cyclical pattern superimposed on the growth trend. Each successive year's peaks exceed the previous year's, confirming structural demand expansion rather than one-off spikes. January 2025 set the all-time monthly record at 1.07 million passengers.</w:t>
      </w:r>
    </w:p>
    <w:p>
      <w:pPr>
        <w:jc w:val="center"/>
      </w:pPr>
      <w:r>
        <w:drawing>
          <wp:inline xmlns:a="http://schemas.openxmlformats.org/drawingml/2006/main" xmlns:pic="http://schemas.openxmlformats.org/drawingml/2006/picture">
            <wp:extent cx="5669280" cy="2429691"/>
            <wp:docPr id="3" name="Picture 3"/>
            <wp:cNvGraphicFramePr>
              <a:graphicFrameLocks noChangeAspect="1"/>
            </wp:cNvGraphicFramePr>
            <a:graphic>
              <a:graphicData uri="http://schemas.openxmlformats.org/drawingml/2006/picture">
                <pic:pic>
                  <pic:nvPicPr>
                    <pic:cNvPr id="0" name="01_monthly_demand_trend.png"/>
                    <pic:cNvPicPr/>
                  </pic:nvPicPr>
                  <pic:blipFill>
                    <a:blip r:embed="rId11"/>
                    <a:stretch>
                      <a:fillRect/>
                    </a:stretch>
                  </pic:blipFill>
                  <pic:spPr>
                    <a:xfrm>
                      <a:off x="0" y="0"/>
                      <a:ext cx="5669280" cy="2429691"/>
                    </a:xfrm>
                    <a:prstGeom prst="rect"/>
                  </pic:spPr>
                </pic:pic>
              </a:graphicData>
            </a:graphic>
          </wp:inline>
        </w:drawing>
      </w:r>
    </w:p>
    <w:p>
      <w:pPr>
        <w:jc w:val="center"/>
      </w:pPr>
      <w:r>
        <w:rPr>
          <w:i/>
          <w:color w:val="616161"/>
          <w:sz w:val="18"/>
        </w:rPr>
        <w:t>Figure 3: Monthly demand with historical actuals (blue) and H2 2025 forecast (red dashed)</w:t>
      </w:r>
    </w:p>
    <w:p>
      <w:r>
        <w:br w:type="page"/>
      </w:r>
    </w:p>
    <w:p>
      <w:pPr>
        <w:pStyle w:val="Heading1"/>
      </w:pPr>
      <w:r>
        <w:t>2. Seasonality &amp; Weekday/Weekend Divergence</w:t>
      </w:r>
    </w:p>
    <w:p>
      <w:pPr>
        <w:pBdr>
          <w:bottom w:val="single" w:sz="6" w:space="1" w:color="0D47A1"/>
        </w:pBdr>
      </w:pPr>
    </w:p>
    <w:p>
      <w:pPr>
        <w:pStyle w:val="Heading2"/>
      </w:pPr>
      <w:r>
        <w:t>Seasonal Pattern</w:t>
      </w:r>
    </w:p>
    <w:p>
      <w:r>
        <w:t>Dubai's climate-driven seasonality is the single strongest short-term demand driver. Winter Peak months (November–March) average 189.5 passengers per stop-day, compared to 145.1 during Summer Moderate (June–August) — a gap of 31%. This pattern is consistent across all route types and zones.</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3_seasonal_demand.png"/>
                    <pic:cNvPicPr/>
                  </pic:nvPicPr>
                  <pic:blipFill>
                    <a:blip r:embed="rId12"/>
                    <a:stretch>
                      <a:fillRect/>
                    </a:stretch>
                  </pic:blipFill>
                  <pic:spPr>
                    <a:xfrm>
                      <a:off x="0" y="0"/>
                      <a:ext cx="5669280" cy="3779520"/>
                    </a:xfrm>
                    <a:prstGeom prst="rect"/>
                  </pic:spPr>
                </pic:pic>
              </a:graphicData>
            </a:graphic>
          </wp:inline>
        </w:drawing>
      </w:r>
    </w:p>
    <w:p>
      <w:pPr>
        <w:jc w:val="center"/>
      </w:pPr>
      <w:r>
        <w:rPr>
          <w:i/>
          <w:color w:val="616161"/>
          <w:sz w:val="18"/>
        </w:rPr>
        <w:t>Figure 4: Seasonal demand comparison — Winter is 31% higher than Summer</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14_growth_decomposition_season.png"/>
                    <pic:cNvPicPr/>
                  </pic:nvPicPr>
                  <pic:blipFill>
                    <a:blip r:embed="rId13"/>
                    <a:stretch>
                      <a:fillRect/>
                    </a:stretch>
                  </pic:blipFill>
                  <pic:spPr>
                    <a:xfrm>
                      <a:off x="0" y="0"/>
                      <a:ext cx="5669280" cy="3307080"/>
                    </a:xfrm>
                    <a:prstGeom prst="rect"/>
                  </pic:spPr>
                </pic:pic>
              </a:graphicData>
            </a:graphic>
          </wp:inline>
        </w:drawing>
      </w:r>
    </w:p>
    <w:p>
      <w:pPr>
        <w:jc w:val="center"/>
      </w:pPr>
      <w:r>
        <w:rPr>
          <w:i/>
          <w:color w:val="616161"/>
          <w:sz w:val="18"/>
        </w:rPr>
        <w:t>Figure 5: Growth decomposition by season — all three seasons grow in parallel</w:t>
      </w:r>
    </w:p>
    <w:p>
      <w:pPr>
        <w:pStyle w:val="Heading2"/>
      </w:pPr>
      <w:r>
        <w:t>Weekday vs Weekend Patterns</w:t>
      </w:r>
    </w:p>
    <w:p>
      <w:r>
        <w:t>The network operates primarily as a commuter system. Weekday demand (Sun–Thu) consistently exceeds weekend demand (Fri–Sat) across all routes. Express routes show the steepest weekend drop (~8%), confirming their role as dedicated work-commute corridors. City routes show only a 3–5% drop, indicating mixed commuter/discretionary use.</w:t>
      </w:r>
    </w:p>
    <w:p>
      <w:pPr>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07_weekday_weekend.png"/>
                    <pic:cNvPicPr/>
                  </pic:nvPicPr>
                  <pic:blipFill>
                    <a:blip r:embed="rId14"/>
                    <a:stretch>
                      <a:fillRect/>
                    </a:stretch>
                  </pic:blipFill>
                  <pic:spPr>
                    <a:xfrm>
                      <a:off x="0" y="0"/>
                      <a:ext cx="5669280" cy="2834640"/>
                    </a:xfrm>
                    <a:prstGeom prst="rect"/>
                  </pic:spPr>
                </pic:pic>
              </a:graphicData>
            </a:graphic>
          </wp:inline>
        </w:drawing>
      </w:r>
    </w:p>
    <w:p>
      <w:pPr>
        <w:jc w:val="center"/>
      </w:pPr>
      <w:r>
        <w:rPr>
          <w:i/>
          <w:color w:val="616161"/>
          <w:sz w:val="18"/>
        </w:rPr>
        <w:t>Figure 6: Weekday vs Weekend demand by route — Express routes drop most on weekends</w:t>
      </w:r>
    </w:p>
    <w:p>
      <w:pPr>
        <w:pStyle w:val="Heading2"/>
      </w:pPr>
      <w:r>
        <w:t>Day-of-Week Granularity</w:t>
      </w:r>
    </w:p>
    <w:p>
      <w:r>
        <w:t>The day-of-week heatmap reveals that Wednesday is the peak demand day for most routes, while Saturday shows the lowest demand network-wide. This granularity supports the recommendation for a three-tier timetabling system: Peak (Sunday–Thursday), Reduced (Friday), and Minimal (Saturday).</w:t>
      </w:r>
    </w:p>
    <w:p>
      <w:pPr>
        <w:jc w:val="center"/>
      </w:pPr>
      <w:r>
        <w:drawing>
          <wp:inline xmlns:a="http://schemas.openxmlformats.org/drawingml/2006/main" xmlns:pic="http://schemas.openxmlformats.org/drawingml/2006/picture">
            <wp:extent cx="5669280" cy="3663122"/>
            <wp:docPr id="7" name="Picture 7"/>
            <wp:cNvGraphicFramePr>
              <a:graphicFrameLocks noChangeAspect="1"/>
            </wp:cNvGraphicFramePr>
            <a:graphic>
              <a:graphicData uri="http://schemas.openxmlformats.org/drawingml/2006/picture">
                <pic:pic>
                  <pic:nvPicPr>
                    <pic:cNvPr id="0" name="12_dow_heatmap.png"/>
                    <pic:cNvPicPr/>
                  </pic:nvPicPr>
                  <pic:blipFill>
                    <a:blip r:embed="rId15"/>
                    <a:stretch>
                      <a:fillRect/>
                    </a:stretch>
                  </pic:blipFill>
                  <pic:spPr>
                    <a:xfrm>
                      <a:off x="0" y="0"/>
                      <a:ext cx="5669280" cy="3663122"/>
                    </a:xfrm>
                    <a:prstGeom prst="rect"/>
                  </pic:spPr>
                </pic:pic>
              </a:graphicData>
            </a:graphic>
          </wp:inline>
        </w:drawing>
      </w:r>
    </w:p>
    <w:p>
      <w:pPr>
        <w:jc w:val="center"/>
      </w:pPr>
      <w:r>
        <w:rPr>
          <w:i/>
          <w:color w:val="616161"/>
          <w:sz w:val="18"/>
        </w:rPr>
        <w:t>Figure 7: Day-of-week demand heatmap by route (H1 2025) — Wednesday is consistently the peak day</w:t>
      </w:r>
    </w:p>
    <w:p>
      <w:r>
        <w:br w:type="page"/>
      </w:r>
    </w:p>
    <w:p>
      <w:pPr>
        <w:pStyle w:val="Heading1"/>
      </w:pPr>
      <w:r>
        <w:t>3. Corridor-Level Structural Imbalance</w:t>
      </w:r>
    </w:p>
    <w:p>
      <w:pPr>
        <w:pBdr>
          <w:bottom w:val="single" w:sz="6" w:space="1" w:color="0D47A1"/>
        </w:pBdr>
      </w:pPr>
    </w:p>
    <w:p>
      <w:r>
        <w:t>The network exhibits significant structural imbalance between route types. Express routes carry the highest passenger density per kilometer but operate with the fewest routes (3 out of 12), creating a systemic overload risk. Conversely, Feeder and Intercity routes have lower utilization relative to their infrastructure footprint.</w:t>
      </w:r>
    </w:p>
    <w:p>
      <w:pPr>
        <w:jc w:val="center"/>
      </w:pPr>
      <w:r>
        <w:drawing>
          <wp:inline xmlns:a="http://schemas.openxmlformats.org/drawingml/2006/main" xmlns:pic="http://schemas.openxmlformats.org/drawingml/2006/picture">
            <wp:extent cx="5669280" cy="2652775"/>
            <wp:docPr id="8" name="Picture 8"/>
            <wp:cNvGraphicFramePr>
              <a:graphicFrameLocks noChangeAspect="1"/>
            </wp:cNvGraphicFramePr>
            <a:graphic>
              <a:graphicData uri="http://schemas.openxmlformats.org/drawingml/2006/picture">
                <pic:pic>
                  <pic:nvPicPr>
                    <pic:cNvPr id="0" name="04_route_type_comparison.png"/>
                    <pic:cNvPicPr/>
                  </pic:nvPicPr>
                  <pic:blipFill>
                    <a:blip r:embed="rId16"/>
                    <a:stretch>
                      <a:fillRect/>
                    </a:stretch>
                  </pic:blipFill>
                  <pic:spPr>
                    <a:xfrm>
                      <a:off x="0" y="0"/>
                      <a:ext cx="5669280" cy="2652775"/>
                    </a:xfrm>
                    <a:prstGeom prst="rect"/>
                  </pic:spPr>
                </pic:pic>
              </a:graphicData>
            </a:graphic>
          </wp:inline>
        </w:drawing>
      </w:r>
    </w:p>
    <w:p>
      <w:pPr>
        <w:jc w:val="center"/>
      </w:pPr>
      <w:r>
        <w:rPr>
          <w:i/>
          <w:color w:val="616161"/>
          <w:sz w:val="18"/>
        </w:rPr>
        <w:t>Figure 8: Route type comparison — Express has highest per-stop density but fewest routes</w:t>
      </w:r>
    </w:p>
    <w:p>
      <w:pPr>
        <w:pStyle w:val="Heading2"/>
      </w:pPr>
      <w:r>
        <w:t>Overload Risk Assessment</w:t>
      </w:r>
    </w:p>
    <w:p>
      <w:r>
        <w:t>The overload risk score quantifies each route's vulnerability based on passenger density per kilometer. All three Express routes score above the WARNING threshold (40/100), with X28 reaching CRITICAL status at 89/100. This is not an isolated incident — it is a systemic category failure requiring strategic intervention.</w:t>
      </w:r>
    </w:p>
    <w:p>
      <w:pPr>
        <w:jc w:val="center"/>
      </w:pPr>
      <w:r>
        <w:drawing>
          <wp:inline xmlns:a="http://schemas.openxmlformats.org/drawingml/2006/main" xmlns:pic="http://schemas.openxmlformats.org/drawingml/2006/picture">
            <wp:extent cx="5669280" cy="3307080"/>
            <wp:docPr id="9" name="Picture 9"/>
            <wp:cNvGraphicFramePr>
              <a:graphicFrameLocks noChangeAspect="1"/>
            </wp:cNvGraphicFramePr>
            <a:graphic>
              <a:graphicData uri="http://schemas.openxmlformats.org/drawingml/2006/picture">
                <pic:pic>
                  <pic:nvPicPr>
                    <pic:cNvPr id="0" name="09_overload_risk.png"/>
                    <pic:cNvPicPr/>
                  </pic:nvPicPr>
                  <pic:blipFill>
                    <a:blip r:embed="rId17"/>
                    <a:stretch>
                      <a:fillRect/>
                    </a:stretch>
                  </pic:blipFill>
                  <pic:spPr>
                    <a:xfrm>
                      <a:off x="0" y="0"/>
                      <a:ext cx="5669280" cy="3307080"/>
                    </a:xfrm>
                    <a:prstGeom prst="rect"/>
                  </pic:spPr>
                </pic:pic>
              </a:graphicData>
            </a:graphic>
          </wp:inline>
        </w:drawing>
      </w:r>
    </w:p>
    <w:p>
      <w:pPr>
        <w:jc w:val="center"/>
      </w:pPr>
      <w:r>
        <w:rPr>
          <w:i/>
          <w:color w:val="616161"/>
          <w:sz w:val="18"/>
        </w:rPr>
        <w:t>Figure 9: Route overload risk scores — all 3 Express routes above WARNING threshold</w:t>
      </w:r>
    </w:p>
    <w:p>
      <w:pPr>
        <w:pStyle w:val="Heading3"/>
      </w:pPr>
      <w:r>
        <w:t>Overloaded Corridors (Top 3)</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Route</w:t>
            </w:r>
          </w:p>
        </w:tc>
        <w:tc>
          <w:tcPr>
            <w:tcW w:type="dxa" w:w="1440"/>
          </w:tcPr>
          <w:p>
            <w:pPr>
              <w:jc w:val="center"/>
            </w:pPr>
            <w:r>
              <w:rPr>
                <w:b/>
                <w:sz w:val="20"/>
              </w:rPr>
              <w:t>Type</w:t>
            </w:r>
          </w:p>
        </w:tc>
        <w:tc>
          <w:tcPr>
            <w:tcW w:type="dxa" w:w="1440"/>
          </w:tcPr>
          <w:p>
            <w:pPr>
              <w:jc w:val="center"/>
            </w:pPr>
            <w:r>
              <w:rPr>
                <w:b/>
                <w:sz w:val="20"/>
              </w:rPr>
              <w:t>Risk Score</w:t>
            </w:r>
          </w:p>
        </w:tc>
        <w:tc>
          <w:tcPr>
            <w:tcW w:type="dxa" w:w="1440"/>
          </w:tcPr>
          <w:p>
            <w:pPr>
              <w:jc w:val="center"/>
            </w:pPr>
            <w:r>
              <w:rPr>
                <w:b/>
                <w:sz w:val="20"/>
              </w:rPr>
              <w:t>Pax/km</w:t>
            </w:r>
          </w:p>
        </w:tc>
        <w:tc>
          <w:tcPr>
            <w:tcW w:type="dxa" w:w="1440"/>
          </w:tcPr>
          <w:p>
            <w:pPr>
              <w:jc w:val="center"/>
            </w:pPr>
            <w:r>
              <w:rPr>
                <w:b/>
                <w:sz w:val="20"/>
              </w:rPr>
              <w:t>Forecast Growth</w:t>
            </w:r>
          </w:p>
        </w:tc>
        <w:tc>
          <w:tcPr>
            <w:tcW w:type="dxa" w:w="1440"/>
          </w:tcPr>
          <w:p>
            <w:pPr>
              <w:jc w:val="center"/>
            </w:pPr>
            <w:r>
              <w:rPr>
                <w:b/>
                <w:sz w:val="20"/>
              </w:rPr>
              <w:t>Priority</w:t>
            </w:r>
          </w:p>
        </w:tc>
      </w:tr>
      <w:tr>
        <w:tc>
          <w:tcPr>
            <w:tcW w:type="dxa" w:w="1440"/>
          </w:tcPr>
          <w:p>
            <w:pPr>
              <w:jc w:val="center"/>
            </w:pPr>
            <w:r>
              <w:rPr>
                <w:sz w:val="20"/>
              </w:rPr>
              <w:t>X28</w:t>
            </w:r>
          </w:p>
        </w:tc>
        <w:tc>
          <w:tcPr>
            <w:tcW w:type="dxa" w:w="1440"/>
          </w:tcPr>
          <w:p>
            <w:pPr>
              <w:jc w:val="center"/>
            </w:pPr>
            <w:r>
              <w:rPr>
                <w:sz w:val="20"/>
              </w:rPr>
              <w:t>Express</w:t>
            </w:r>
          </w:p>
        </w:tc>
        <w:tc>
          <w:tcPr>
            <w:tcW w:type="dxa" w:w="1440"/>
          </w:tcPr>
          <w:p>
            <w:pPr>
              <w:jc w:val="center"/>
            </w:pPr>
            <w:r>
              <w:rPr>
                <w:sz w:val="20"/>
              </w:rPr>
              <w:t>89/100</w:t>
            </w:r>
          </w:p>
        </w:tc>
        <w:tc>
          <w:tcPr>
            <w:tcW w:type="dxa" w:w="1440"/>
          </w:tcPr>
          <w:p>
            <w:pPr>
              <w:jc w:val="center"/>
            </w:pPr>
            <w:r>
              <w:rPr>
                <w:sz w:val="20"/>
              </w:rPr>
              <w:t>18.8</w:t>
            </w:r>
          </w:p>
        </w:tc>
        <w:tc>
          <w:tcPr>
            <w:tcW w:type="dxa" w:w="1440"/>
          </w:tcPr>
          <w:p>
            <w:pPr>
              <w:jc w:val="center"/>
            </w:pPr>
            <w:r>
              <w:rPr>
                <w:sz w:val="20"/>
              </w:rPr>
              <w:t>+8.0%</w:t>
            </w:r>
          </w:p>
        </w:tc>
        <w:tc>
          <w:tcPr>
            <w:tcW w:type="dxa" w:w="1440"/>
          </w:tcPr>
          <w:p>
            <w:pPr>
              <w:jc w:val="center"/>
            </w:pPr>
            <w:r>
              <w:rPr>
                <w:sz w:val="20"/>
              </w:rPr>
              <w:t>CRITICAL</w:t>
            </w:r>
          </w:p>
        </w:tc>
      </w:tr>
      <w:tr>
        <w:tc>
          <w:tcPr>
            <w:tcW w:type="dxa" w:w="1440"/>
          </w:tcPr>
          <w:p>
            <w:pPr>
              <w:jc w:val="center"/>
            </w:pPr>
            <w:r>
              <w:rPr>
                <w:sz w:val="20"/>
              </w:rPr>
              <w:t>X11</w:t>
            </w:r>
          </w:p>
        </w:tc>
        <w:tc>
          <w:tcPr>
            <w:tcW w:type="dxa" w:w="1440"/>
          </w:tcPr>
          <w:p>
            <w:pPr>
              <w:jc w:val="center"/>
            </w:pPr>
            <w:r>
              <w:rPr>
                <w:sz w:val="20"/>
              </w:rPr>
              <w:t>Express</w:t>
            </w:r>
          </w:p>
        </w:tc>
        <w:tc>
          <w:tcPr>
            <w:tcW w:type="dxa" w:w="1440"/>
          </w:tcPr>
          <w:p>
            <w:pPr>
              <w:jc w:val="center"/>
            </w:pPr>
            <w:r>
              <w:rPr>
                <w:sz w:val="20"/>
              </w:rPr>
              <w:t>68/100</w:t>
            </w:r>
          </w:p>
        </w:tc>
        <w:tc>
          <w:tcPr>
            <w:tcW w:type="dxa" w:w="1440"/>
          </w:tcPr>
          <w:p>
            <w:pPr>
              <w:jc w:val="center"/>
            </w:pPr>
            <w:r>
              <w:rPr>
                <w:sz w:val="20"/>
              </w:rPr>
              <w:t>10.3</w:t>
            </w:r>
          </w:p>
        </w:tc>
        <w:tc>
          <w:tcPr>
            <w:tcW w:type="dxa" w:w="1440"/>
          </w:tcPr>
          <w:p>
            <w:pPr>
              <w:jc w:val="center"/>
            </w:pPr>
            <w:r>
              <w:rPr>
                <w:sz w:val="20"/>
              </w:rPr>
              <w:t>+8.4%</w:t>
            </w:r>
          </w:p>
        </w:tc>
        <w:tc>
          <w:tcPr>
            <w:tcW w:type="dxa" w:w="1440"/>
          </w:tcPr>
          <w:p>
            <w:pPr>
              <w:jc w:val="center"/>
            </w:pPr>
            <w:r>
              <w:rPr>
                <w:sz w:val="20"/>
              </w:rPr>
              <w:t>HIGH</w:t>
            </w:r>
          </w:p>
        </w:tc>
      </w:tr>
      <w:tr>
        <w:tc>
          <w:tcPr>
            <w:tcW w:type="dxa" w:w="1440"/>
          </w:tcPr>
          <w:p>
            <w:pPr>
              <w:jc w:val="center"/>
            </w:pPr>
            <w:r>
              <w:rPr>
                <w:sz w:val="20"/>
              </w:rPr>
              <w:t>X66</w:t>
            </w:r>
          </w:p>
        </w:tc>
        <w:tc>
          <w:tcPr>
            <w:tcW w:type="dxa" w:w="1440"/>
          </w:tcPr>
          <w:p>
            <w:pPr>
              <w:jc w:val="center"/>
            </w:pPr>
            <w:r>
              <w:rPr>
                <w:sz w:val="20"/>
              </w:rPr>
              <w:t>Express</w:t>
            </w:r>
          </w:p>
        </w:tc>
        <w:tc>
          <w:tcPr>
            <w:tcW w:type="dxa" w:w="1440"/>
          </w:tcPr>
          <w:p>
            <w:pPr>
              <w:jc w:val="center"/>
            </w:pPr>
            <w:r>
              <w:rPr>
                <w:sz w:val="20"/>
              </w:rPr>
              <w:t>60/100</w:t>
            </w:r>
          </w:p>
        </w:tc>
        <w:tc>
          <w:tcPr>
            <w:tcW w:type="dxa" w:w="1440"/>
          </w:tcPr>
          <w:p>
            <w:pPr>
              <w:jc w:val="center"/>
            </w:pPr>
            <w:r>
              <w:rPr>
                <w:sz w:val="20"/>
              </w:rPr>
              <w:t>12.3</w:t>
            </w:r>
          </w:p>
        </w:tc>
        <w:tc>
          <w:tcPr>
            <w:tcW w:type="dxa" w:w="1440"/>
          </w:tcPr>
          <w:p>
            <w:pPr>
              <w:jc w:val="center"/>
            </w:pPr>
            <w:r>
              <w:rPr>
                <w:sz w:val="20"/>
              </w:rPr>
              <w:t>+7.2%</w:t>
            </w:r>
          </w:p>
        </w:tc>
        <w:tc>
          <w:tcPr>
            <w:tcW w:type="dxa" w:w="1440"/>
          </w:tcPr>
          <w:p>
            <w:pPr>
              <w:jc w:val="center"/>
            </w:pPr>
            <w:r>
              <w:rPr>
                <w:sz w:val="20"/>
              </w:rPr>
              <w:t>HIGH</w:t>
            </w:r>
          </w:p>
        </w:tc>
      </w:tr>
    </w:tbl>
    <w:p/>
    <w:p>
      <w:pPr>
        <w:pStyle w:val="Heading3"/>
      </w:pPr>
      <w:r>
        <w:t>Underutilized Corridors (Top 3)</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Route</w:t>
            </w:r>
          </w:p>
        </w:tc>
        <w:tc>
          <w:tcPr>
            <w:tcW w:type="dxa" w:w="1440"/>
          </w:tcPr>
          <w:p>
            <w:pPr>
              <w:jc w:val="center"/>
            </w:pPr>
            <w:r>
              <w:rPr>
                <w:b/>
                <w:sz w:val="20"/>
              </w:rPr>
              <w:t>Type</w:t>
            </w:r>
          </w:p>
        </w:tc>
        <w:tc>
          <w:tcPr>
            <w:tcW w:type="dxa" w:w="1440"/>
          </w:tcPr>
          <w:p>
            <w:pPr>
              <w:jc w:val="center"/>
            </w:pPr>
            <w:r>
              <w:rPr>
                <w:b/>
                <w:sz w:val="20"/>
              </w:rPr>
              <w:t>Waste Score</w:t>
            </w:r>
          </w:p>
        </w:tc>
        <w:tc>
          <w:tcPr>
            <w:tcW w:type="dxa" w:w="1440"/>
          </w:tcPr>
          <w:p>
            <w:pPr>
              <w:jc w:val="center"/>
            </w:pPr>
            <w:r>
              <w:rPr>
                <w:b/>
                <w:sz w:val="20"/>
              </w:rPr>
              <w:t>Pax/km</w:t>
            </w:r>
          </w:p>
        </w:tc>
        <w:tc>
          <w:tcPr>
            <w:tcW w:type="dxa" w:w="1440"/>
          </w:tcPr>
          <w:p>
            <w:pPr>
              <w:jc w:val="center"/>
            </w:pPr>
            <w:r>
              <w:rPr>
                <w:b/>
                <w:sz w:val="20"/>
              </w:rPr>
              <w:t>Length (km)</w:t>
            </w:r>
          </w:p>
        </w:tc>
        <w:tc>
          <w:tcPr>
            <w:tcW w:type="dxa" w:w="1440"/>
          </w:tcPr>
          <w:p>
            <w:pPr>
              <w:jc w:val="center"/>
            </w:pPr>
            <w:r>
              <w:rPr>
                <w:b/>
                <w:sz w:val="20"/>
              </w:rPr>
              <w:t>Stops</w:t>
            </w:r>
          </w:p>
        </w:tc>
      </w:tr>
      <w:tr>
        <w:tc>
          <w:tcPr>
            <w:tcW w:type="dxa" w:w="1440"/>
          </w:tcPr>
          <w:p>
            <w:pPr>
              <w:jc w:val="center"/>
            </w:pPr>
            <w:r>
              <w:rPr>
                <w:sz w:val="20"/>
              </w:rPr>
              <w:t>F18</w:t>
            </w:r>
          </w:p>
        </w:tc>
        <w:tc>
          <w:tcPr>
            <w:tcW w:type="dxa" w:w="1440"/>
          </w:tcPr>
          <w:p>
            <w:pPr>
              <w:jc w:val="center"/>
            </w:pPr>
            <w:r>
              <w:rPr>
                <w:sz w:val="20"/>
              </w:rPr>
              <w:t>Feeder</w:t>
            </w:r>
          </w:p>
        </w:tc>
        <w:tc>
          <w:tcPr>
            <w:tcW w:type="dxa" w:w="1440"/>
          </w:tcPr>
          <w:p>
            <w:pPr>
              <w:jc w:val="center"/>
            </w:pPr>
            <w:r>
              <w:rPr>
                <w:sz w:val="20"/>
              </w:rPr>
              <w:t>88/100</w:t>
            </w:r>
          </w:p>
        </w:tc>
        <w:tc>
          <w:tcPr>
            <w:tcW w:type="dxa" w:w="1440"/>
          </w:tcPr>
          <w:p>
            <w:pPr>
              <w:jc w:val="center"/>
            </w:pPr>
            <w:r>
              <w:rPr>
                <w:sz w:val="20"/>
              </w:rPr>
              <w:t>10.0</w:t>
            </w:r>
          </w:p>
        </w:tc>
        <w:tc>
          <w:tcPr>
            <w:tcW w:type="dxa" w:w="1440"/>
          </w:tcPr>
          <w:p>
            <w:pPr>
              <w:jc w:val="center"/>
            </w:pPr>
            <w:r>
              <w:rPr>
                <w:sz w:val="20"/>
              </w:rPr>
              <w:t>18.1</w:t>
            </w:r>
          </w:p>
        </w:tc>
        <w:tc>
          <w:tcPr>
            <w:tcW w:type="dxa" w:w="1440"/>
          </w:tcPr>
          <w:p>
            <w:pPr>
              <w:jc w:val="center"/>
            </w:pPr>
            <w:r>
              <w:rPr>
                <w:sz w:val="20"/>
              </w:rPr>
              <w:t>6</w:t>
            </w:r>
          </w:p>
        </w:tc>
      </w:tr>
      <w:tr>
        <w:tc>
          <w:tcPr>
            <w:tcW w:type="dxa" w:w="1440"/>
          </w:tcPr>
          <w:p>
            <w:pPr>
              <w:jc w:val="center"/>
            </w:pPr>
            <w:r>
              <w:rPr>
                <w:sz w:val="20"/>
              </w:rPr>
              <w:t>E16</w:t>
            </w:r>
          </w:p>
        </w:tc>
        <w:tc>
          <w:tcPr>
            <w:tcW w:type="dxa" w:w="1440"/>
          </w:tcPr>
          <w:p>
            <w:pPr>
              <w:jc w:val="center"/>
            </w:pPr>
            <w:r>
              <w:rPr>
                <w:sz w:val="20"/>
              </w:rPr>
              <w:t>Intercity</w:t>
            </w:r>
          </w:p>
        </w:tc>
        <w:tc>
          <w:tcPr>
            <w:tcW w:type="dxa" w:w="1440"/>
          </w:tcPr>
          <w:p>
            <w:pPr>
              <w:jc w:val="center"/>
            </w:pPr>
            <w:r>
              <w:rPr>
                <w:sz w:val="20"/>
              </w:rPr>
              <w:t>75/100</w:t>
            </w:r>
          </w:p>
        </w:tc>
        <w:tc>
          <w:tcPr>
            <w:tcW w:type="dxa" w:w="1440"/>
          </w:tcPr>
          <w:p>
            <w:pPr>
              <w:jc w:val="center"/>
            </w:pPr>
            <w:r>
              <w:rPr>
                <w:sz w:val="20"/>
              </w:rPr>
              <w:t>7.6</w:t>
            </w:r>
          </w:p>
        </w:tc>
        <w:tc>
          <w:tcPr>
            <w:tcW w:type="dxa" w:w="1440"/>
          </w:tcPr>
          <w:p>
            <w:pPr>
              <w:jc w:val="center"/>
            </w:pPr>
            <w:r>
              <w:rPr>
                <w:sz w:val="20"/>
              </w:rPr>
              <w:t>22.1</w:t>
            </w:r>
          </w:p>
        </w:tc>
        <w:tc>
          <w:tcPr>
            <w:tcW w:type="dxa" w:w="1440"/>
          </w:tcPr>
          <w:p>
            <w:pPr>
              <w:jc w:val="center"/>
            </w:pPr>
            <w:r>
              <w:rPr>
                <w:sz w:val="20"/>
              </w:rPr>
              <w:t>5</w:t>
            </w:r>
          </w:p>
        </w:tc>
      </w:tr>
      <w:tr>
        <w:tc>
          <w:tcPr>
            <w:tcW w:type="dxa" w:w="1440"/>
          </w:tcPr>
          <w:p>
            <w:pPr>
              <w:jc w:val="center"/>
            </w:pPr>
            <w:r>
              <w:rPr>
                <w:sz w:val="20"/>
              </w:rPr>
              <w:t>F12</w:t>
            </w:r>
          </w:p>
        </w:tc>
        <w:tc>
          <w:tcPr>
            <w:tcW w:type="dxa" w:w="1440"/>
          </w:tcPr>
          <w:p>
            <w:pPr>
              <w:jc w:val="center"/>
            </w:pPr>
            <w:r>
              <w:rPr>
                <w:sz w:val="20"/>
              </w:rPr>
              <w:t>Feeder</w:t>
            </w:r>
          </w:p>
        </w:tc>
        <w:tc>
          <w:tcPr>
            <w:tcW w:type="dxa" w:w="1440"/>
          </w:tcPr>
          <w:p>
            <w:pPr>
              <w:jc w:val="center"/>
            </w:pPr>
            <w:r>
              <w:rPr>
                <w:sz w:val="20"/>
              </w:rPr>
              <w:t>75/100</w:t>
            </w:r>
          </w:p>
        </w:tc>
        <w:tc>
          <w:tcPr>
            <w:tcW w:type="dxa" w:w="1440"/>
          </w:tcPr>
          <w:p>
            <w:pPr>
              <w:jc w:val="center"/>
            </w:pPr>
            <w:r>
              <w:rPr>
                <w:sz w:val="20"/>
              </w:rPr>
              <w:t>6.7</w:t>
            </w:r>
          </w:p>
        </w:tc>
        <w:tc>
          <w:tcPr>
            <w:tcW w:type="dxa" w:w="1440"/>
          </w:tcPr>
          <w:p>
            <w:pPr>
              <w:jc w:val="center"/>
            </w:pPr>
            <w:r>
              <w:rPr>
                <w:sz w:val="20"/>
              </w:rPr>
              <w:t>27.0</w:t>
            </w:r>
          </w:p>
        </w:tc>
        <w:tc>
          <w:tcPr>
            <w:tcW w:type="dxa" w:w="1440"/>
          </w:tcPr>
          <w:p>
            <w:pPr>
              <w:jc w:val="center"/>
            </w:pPr>
            <w:r>
              <w:rPr>
                <w:sz w:val="20"/>
              </w:rPr>
              <w:t>5</w:t>
            </w:r>
          </w:p>
        </w:tc>
      </w:tr>
    </w:tbl>
    <w:p/>
    <w:p>
      <w:pPr>
        <w:pStyle w:val="Heading2"/>
      </w:pPr>
      <w:r>
        <w:t>Zone Demand Distribution</w:t>
      </w:r>
    </w:p>
    <w:p>
      <w:r>
        <w:t>At the zone level, CBD Downtown dominates total volume (8.7M passengers), but Coastal Marina shows the highest per-stop intensity (199 avg passengers per stop-day) with only 5 stops — making it the most capacity-constrained zone in the network.</w:t>
      </w:r>
    </w:p>
    <w:p>
      <w:pPr>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06_zone_demand.png"/>
                    <pic:cNvPicPr/>
                  </pic:nvPicPr>
                  <pic:blipFill>
                    <a:blip r:embed="rId18"/>
                    <a:stretch>
                      <a:fillRect/>
                    </a:stretch>
                  </pic:blipFill>
                  <pic:spPr>
                    <a:xfrm>
                      <a:off x="0" y="0"/>
                      <a:ext cx="5669280" cy="2834640"/>
                    </a:xfrm>
                    <a:prstGeom prst="rect"/>
                  </pic:spPr>
                </pic:pic>
              </a:graphicData>
            </a:graphic>
          </wp:inline>
        </w:drawing>
      </w:r>
    </w:p>
    <w:p>
      <w:pPr>
        <w:jc w:val="center"/>
      </w:pPr>
      <w:r>
        <w:rPr>
          <w:i/>
          <w:color w:val="616161"/>
          <w:sz w:val="18"/>
        </w:rPr>
        <w:t>Figure 10: Zone demand ranking — Coastal Marina has highest per-stop intensity</w:t>
      </w:r>
    </w:p>
    <w:p>
      <w:pPr>
        <w:pStyle w:val="Heading2"/>
      </w:pPr>
      <w:r>
        <w:t>Stop-Level Bottlenecks</w:t>
      </w:r>
    </w:p>
    <w:p>
      <w:r>
        <w:t>Stop-level analysis reveals that the top 10 busiest stops are concentrated in just two zones: Coastal Marina (3 stops) and CBD Downtown (5 stops). Notably, Stop 52 in Coastal Marina — a regular stop — handles more passengers than even Metro Link interchange stations, indicating extreme localized pressure.</w:t>
      </w:r>
    </w:p>
    <w:p>
      <w:pPr>
        <w:jc w:val="center"/>
      </w:pPr>
      <w:r>
        <w:drawing>
          <wp:inline xmlns:a="http://schemas.openxmlformats.org/drawingml/2006/main" xmlns:pic="http://schemas.openxmlformats.org/drawingml/2006/picture">
            <wp:extent cx="5669280" cy="3307080"/>
            <wp:docPr id="11" name="Picture 11"/>
            <wp:cNvGraphicFramePr>
              <a:graphicFrameLocks noChangeAspect="1"/>
            </wp:cNvGraphicFramePr>
            <a:graphic>
              <a:graphicData uri="http://schemas.openxmlformats.org/drawingml/2006/picture">
                <pic:pic>
                  <pic:nvPicPr>
                    <pic:cNvPr id="0" name="08_top_stops.png"/>
                    <pic:cNvPicPr/>
                  </pic:nvPicPr>
                  <pic:blipFill>
                    <a:blip r:embed="rId19"/>
                    <a:stretch>
                      <a:fillRect/>
                    </a:stretch>
                  </pic:blipFill>
                  <pic:spPr>
                    <a:xfrm>
                      <a:off x="0" y="0"/>
                      <a:ext cx="5669280" cy="3307080"/>
                    </a:xfrm>
                    <a:prstGeom prst="rect"/>
                  </pic:spPr>
                </pic:pic>
              </a:graphicData>
            </a:graphic>
          </wp:inline>
        </w:drawing>
      </w:r>
    </w:p>
    <w:p>
      <w:pPr>
        <w:jc w:val="center"/>
      </w:pPr>
      <w:r>
        <w:rPr>
          <w:i/>
          <w:color w:val="616161"/>
          <w:sz w:val="18"/>
        </w:rPr>
        <w:t>Figure 11: Top 10 busiest stops — Coastal Marina and CBD Downtown dominate</w:t>
      </w:r>
    </w:p>
    <w:p>
      <w:r>
        <w:br w:type="page"/>
      </w:r>
    </w:p>
    <w:p>
      <w:pPr>
        <w:pStyle w:val="Heading1"/>
      </w:pPr>
      <w:r>
        <w:t>4. Congestion–Demand Interaction Model</w:t>
      </w:r>
    </w:p>
    <w:p>
      <w:pPr>
        <w:pBdr>
          <w:bottom w:val="single" w:sz="6" w:space="1" w:color="0D47A1"/>
        </w:pBdr>
      </w:pPr>
    </w:p>
    <w:p>
      <w:r>
        <w:t>A critical finding of this analysis is the "Congestion Paradox": bus ridership increases — not decreases — with higher road congestion levels. This represents a modal shift effect where private car users switch to buses when roads become congested.</w:t>
      </w:r>
    </w:p>
    <w:p>
      <w:pPr>
        <w:jc w:val="center"/>
      </w:pPr>
      <w:r>
        <w:drawing>
          <wp:inline xmlns:a="http://schemas.openxmlformats.org/drawingml/2006/main" xmlns:pic="http://schemas.openxmlformats.org/drawingml/2006/picture">
            <wp:extent cx="5669280" cy="3685032"/>
            <wp:docPr id="12" name="Picture 12"/>
            <wp:cNvGraphicFramePr>
              <a:graphicFrameLocks noChangeAspect="1"/>
            </wp:cNvGraphicFramePr>
            <a:graphic>
              <a:graphicData uri="http://schemas.openxmlformats.org/drawingml/2006/picture">
                <pic:pic>
                  <pic:nvPicPr>
                    <pic:cNvPr id="0" name="05_congestion_paradox.png"/>
                    <pic:cNvPicPr/>
                  </pic:nvPicPr>
                  <pic:blipFill>
                    <a:blip r:embed="rId20"/>
                    <a:stretch>
                      <a:fillRect/>
                    </a:stretch>
                  </pic:blipFill>
                  <pic:spPr>
                    <a:xfrm>
                      <a:off x="0" y="0"/>
                      <a:ext cx="5669280" cy="3685032"/>
                    </a:xfrm>
                    <a:prstGeom prst="rect"/>
                  </pic:spPr>
                </pic:pic>
              </a:graphicData>
            </a:graphic>
          </wp:inline>
        </w:drawing>
      </w:r>
    </w:p>
    <w:p>
      <w:pPr>
        <w:jc w:val="center"/>
      </w:pPr>
      <w:r>
        <w:rPr>
          <w:i/>
          <w:color w:val="616161"/>
          <w:sz w:val="18"/>
        </w:rPr>
        <w:t>Figure 12: The Congestion Paradox — ridership increases with congestion (color = speed)</w:t>
      </w:r>
    </w:p>
    <w:p>
      <w:pPr>
        <w:pStyle w:val="Heading2"/>
      </w:pPr>
      <w:r>
        <w:t>Key Dynamics</w:t>
      </w:r>
    </w:p>
    <w:p>
      <w:pPr>
        <w:pStyle w:val="ListBullet"/>
      </w:pPr>
      <w:r>
        <w:t>Ridership increases by approximately 20% when congestion moves from Level 1 to Level 5.</w:t>
      </w:r>
    </w:p>
    <w:p>
      <w:pPr>
        <w:pStyle w:val="ListBullet"/>
      </w:pPr>
      <w:r>
        <w:t>However, average bus speed halves from ~40 km/h to ~21 km/h in the same range.</w:t>
      </w:r>
    </w:p>
    <w:p>
      <w:pPr>
        <w:pStyle w:val="ListBullet"/>
      </w:pPr>
      <w:r>
        <w:t>This creates a vicious cycle: more passengers board slower buses, leading to overcrowding AND delays.</w:t>
      </w:r>
    </w:p>
    <w:p>
      <w:pPr>
        <w:pStyle w:val="ListBullet"/>
      </w:pPr>
      <w:r>
        <w:t>Congestion must be included as an input variable in demand forecasting models.</w:t>
      </w:r>
    </w:p>
    <w:p>
      <w:pPr>
        <w:pStyle w:val="Heading2"/>
      </w:pPr>
      <w:r>
        <w:t>Strategic Implications</w:t>
      </w:r>
    </w:p>
    <w:p>
      <w:r>
        <w:t>The congestion-demand relationship fundamentally changes the case for bus-priority infrastructure. When roads congest, buses gain passengers but lose speed — the worst of both worlds. Dedicated bus lanes would break this cycle by maintaining speed while absorbing the additional ridership from modal shift. This also justifies dynamic headway adjustment triggered by real-time congestion data.</w:t>
      </w:r>
    </w:p>
    <w:p>
      <w:r>
        <w:br w:type="page"/>
      </w:r>
    </w:p>
    <w:p>
      <w:pPr>
        <w:pStyle w:val="Heading1"/>
      </w:pPr>
      <w:r>
        <w:t>5. Route-Level Demand Forecast: Jul–Dec 2025</w:t>
      </w:r>
    </w:p>
    <w:p>
      <w:pPr>
        <w:pBdr>
          <w:bottom w:val="single" w:sz="6" w:space="1" w:color="0D47A1"/>
        </w:pBdr>
      </w:pPr>
    </w:p>
    <w:p>
      <w:pPr>
        <w:pStyle w:val="Heading2"/>
      </w:pPr>
      <w:r>
        <w:t>Forecasting Methodology</w:t>
      </w:r>
    </w:p>
    <w:p>
      <w:r>
        <w:t>The forecast uses a component decomposition approach that models four independent drivers of demand, then combines them multiplicatively: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Method</w:t>
            </w:r>
          </w:p>
        </w:tc>
        <w:tc>
          <w:tcPr>
            <w:tcW w:type="dxa" w:w="2880"/>
          </w:tcPr>
          <w:p>
            <w:pPr>
              <w:jc w:val="center"/>
            </w:pPr>
            <w:r>
              <w:rPr>
                <w:b/>
                <w:sz w:val="20"/>
              </w:rPr>
              <w:t>Key Parameter</w:t>
            </w:r>
          </w:p>
        </w:tc>
      </w:tr>
      <w:tr>
        <w:tc>
          <w:tcPr>
            <w:tcW w:type="dxa" w:w="2880"/>
          </w:tcPr>
          <w:p>
            <w:pPr>
              <w:jc w:val="center"/>
            </w:pPr>
            <w:r>
              <w:rPr>
                <w:sz w:val="20"/>
              </w:rPr>
              <w:t>Growth Trend</w:t>
            </w:r>
          </w:p>
        </w:tc>
        <w:tc>
          <w:tcPr>
            <w:tcW w:type="dxa" w:w="2880"/>
          </w:tcPr>
          <w:p>
            <w:pPr>
              <w:jc w:val="center"/>
            </w:pPr>
            <w:r>
              <w:rPr>
                <w:sz w:val="20"/>
              </w:rPr>
              <w:t>Linear regression on monthly totals</w:t>
            </w:r>
          </w:p>
        </w:tc>
        <w:tc>
          <w:tcPr>
            <w:tcW w:type="dxa" w:w="2880"/>
          </w:tcPr>
          <w:p>
            <w:pPr>
              <w:jc w:val="center"/>
            </w:pPr>
            <w:r>
              <w:rPr>
                <w:sz w:val="20"/>
              </w:rPr>
              <w:t>Slope: +2,100 pax/day/year</w:t>
            </w:r>
          </w:p>
        </w:tc>
      </w:tr>
      <w:tr>
        <w:tc>
          <w:tcPr>
            <w:tcW w:type="dxa" w:w="2880"/>
          </w:tcPr>
          <w:p>
            <w:pPr>
              <w:jc w:val="center"/>
            </w:pPr>
            <w:r>
              <w:rPr>
                <w:sz w:val="20"/>
              </w:rPr>
              <w:t>Seasonal Effect</w:t>
            </w:r>
          </w:p>
        </w:tc>
        <w:tc>
          <w:tcPr>
            <w:tcW w:type="dxa" w:w="2880"/>
          </w:tcPr>
          <w:p>
            <w:pPr>
              <w:jc w:val="center"/>
            </w:pPr>
            <w:r>
              <w:rPr>
                <w:sz w:val="20"/>
              </w:rPr>
              <w:t>Monthly multipliers from 3-year average</w:t>
            </w:r>
          </w:p>
        </w:tc>
        <w:tc>
          <w:tcPr>
            <w:tcW w:type="dxa" w:w="2880"/>
          </w:tcPr>
          <w:p>
            <w:pPr>
              <w:jc w:val="center"/>
            </w:pPr>
            <w:r>
              <w:rPr>
                <w:sz w:val="20"/>
              </w:rPr>
              <w:t>Winter: 1.12x, Summer: 0.88x</w:t>
            </w:r>
          </w:p>
        </w:tc>
      </w:tr>
      <w:tr>
        <w:tc>
          <w:tcPr>
            <w:tcW w:type="dxa" w:w="2880"/>
          </w:tcPr>
          <w:p>
            <w:pPr>
              <w:jc w:val="center"/>
            </w:pPr>
            <w:r>
              <w:rPr>
                <w:sz w:val="20"/>
              </w:rPr>
              <w:t>Day-of-Week</w:t>
            </w:r>
          </w:p>
        </w:tc>
        <w:tc>
          <w:tcPr>
            <w:tcW w:type="dxa" w:w="2880"/>
          </w:tcPr>
          <w:p>
            <w:pPr>
              <w:jc w:val="center"/>
            </w:pPr>
            <w:r>
              <w:rPr>
                <w:sz w:val="20"/>
              </w:rPr>
              <w:t>DOW index per route</w:t>
            </w:r>
          </w:p>
        </w:tc>
        <w:tc>
          <w:tcPr>
            <w:tcW w:type="dxa" w:w="2880"/>
          </w:tcPr>
          <w:p>
            <w:pPr>
              <w:jc w:val="center"/>
            </w:pPr>
            <w:r>
              <w:rPr>
                <w:sz w:val="20"/>
              </w:rPr>
              <w:t>Wed: 1.06x, Sat: 0.83x</w:t>
            </w:r>
          </w:p>
        </w:tc>
      </w:tr>
      <w:tr>
        <w:tc>
          <w:tcPr>
            <w:tcW w:type="dxa" w:w="2880"/>
          </w:tcPr>
          <w:p>
            <w:pPr>
              <w:jc w:val="center"/>
            </w:pPr>
            <w:r>
              <w:rPr>
                <w:sz w:val="20"/>
              </w:rPr>
              <w:t>Congestion</w:t>
            </w:r>
          </w:p>
        </w:tc>
        <w:tc>
          <w:tcPr>
            <w:tcW w:type="dxa" w:w="2880"/>
          </w:tcPr>
          <w:p>
            <w:pPr>
              <w:jc w:val="center"/>
            </w:pPr>
            <w:r>
              <w:rPr>
                <w:sz w:val="20"/>
              </w:rPr>
              <w:t>Elasticity coefficient per route</w:t>
            </w:r>
          </w:p>
        </w:tc>
        <w:tc>
          <w:tcPr>
            <w:tcW w:type="dxa" w:w="2880"/>
          </w:tcPr>
          <w:p>
            <w:pPr>
              <w:jc w:val="center"/>
            </w:pPr>
            <w:r>
              <w:rPr>
                <w:sz w:val="20"/>
              </w:rPr>
              <w:t>Avg: +4.2% per congestion level</w:t>
            </w:r>
          </w:p>
        </w:tc>
      </w:tr>
    </w:tbl>
    <w:p/>
    <w:p>
      <w:pPr>
        <w:pStyle w:val="Heading2"/>
      </w:pPr>
      <w:r>
        <w:t>Forecast Results</w:t>
      </w:r>
    </w:p>
    <w:p>
      <w:pPr>
        <w:jc w:val="center"/>
      </w:pPr>
      <w:r>
        <w:drawing>
          <wp:inline xmlns:a="http://schemas.openxmlformats.org/drawingml/2006/main" xmlns:pic="http://schemas.openxmlformats.org/drawingml/2006/picture">
            <wp:extent cx="5669280" cy="2834640"/>
            <wp:docPr id="13" name="Picture 13"/>
            <wp:cNvGraphicFramePr>
              <a:graphicFrameLocks noChangeAspect="1"/>
            </wp:cNvGraphicFramePr>
            <a:graphic>
              <a:graphicData uri="http://schemas.openxmlformats.org/drawingml/2006/picture">
                <pic:pic>
                  <pic:nvPicPr>
                    <pic:cNvPr id="0" name="10_forecast_vs_actual.png"/>
                    <pic:cNvPicPr/>
                  </pic:nvPicPr>
                  <pic:blipFill>
                    <a:blip r:embed="rId21"/>
                    <a:stretch>
                      <a:fillRect/>
                    </a:stretch>
                  </pic:blipFill>
                  <pic:spPr>
                    <a:xfrm>
                      <a:off x="0" y="0"/>
                      <a:ext cx="5669280" cy="2834640"/>
                    </a:xfrm>
                    <a:prstGeom prst="rect"/>
                  </pic:spPr>
                </pic:pic>
              </a:graphicData>
            </a:graphic>
          </wp:inline>
        </w:drawing>
      </w:r>
    </w:p>
    <w:p>
      <w:pPr>
        <w:jc w:val="center"/>
      </w:pPr>
      <w:r>
        <w:rPr>
          <w:i/>
          <w:color w:val="616161"/>
          <w:sz w:val="18"/>
        </w:rPr>
        <w:t>Figure 13: H2 2025 forecast (red, left) vs H2 2024 actual (blue, right) — consistent +7-8% growth</w:t>
      </w:r>
    </w:p>
    <w:p>
      <w:pPr>
        <w:pStyle w:val="Heading3"/>
      </w:pPr>
      <w:r>
        <w:t>H2 2025 Summary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Metric</w:t>
            </w:r>
          </w:p>
        </w:tc>
        <w:tc>
          <w:tcPr>
            <w:tcW w:type="dxa" w:w="4320"/>
          </w:tcPr>
          <w:p>
            <w:pPr>
              <w:jc w:val="center"/>
            </w:pPr>
            <w:r>
              <w:rPr>
                <w:b/>
                <w:sz w:val="20"/>
              </w:rPr>
              <w:t>Value</w:t>
            </w:r>
          </w:p>
        </w:tc>
      </w:tr>
      <w:tr>
        <w:tc>
          <w:tcPr>
            <w:tcW w:type="dxa" w:w="4320"/>
          </w:tcPr>
          <w:p>
            <w:pPr>
              <w:jc w:val="center"/>
            </w:pPr>
            <w:r>
              <w:rPr>
                <w:sz w:val="20"/>
              </w:rPr>
              <w:t>Total H2 2025 Forecast</w:t>
            </w:r>
          </w:p>
        </w:tc>
        <w:tc>
          <w:tcPr>
            <w:tcW w:type="dxa" w:w="4320"/>
          </w:tcPr>
          <w:p>
            <w:pPr>
              <w:jc w:val="center"/>
            </w:pPr>
            <w:r>
              <w:rPr>
                <w:sz w:val="20"/>
              </w:rPr>
              <w:t>5,500,596 passengers</w:t>
            </w:r>
          </w:p>
        </w:tc>
      </w:tr>
      <w:tr>
        <w:tc>
          <w:tcPr>
            <w:tcW w:type="dxa" w:w="4320"/>
          </w:tcPr>
          <w:p>
            <w:pPr>
              <w:jc w:val="center"/>
            </w:pPr>
            <w:r>
              <w:rPr>
                <w:sz w:val="20"/>
              </w:rPr>
              <w:t>Growth vs H2 2024</w:t>
            </w:r>
          </w:p>
        </w:tc>
        <w:tc>
          <w:tcPr>
            <w:tcW w:type="dxa" w:w="4320"/>
          </w:tcPr>
          <w:p>
            <w:pPr>
              <w:jc w:val="center"/>
            </w:pPr>
            <w:r>
              <w:rPr>
                <w:sz w:val="20"/>
              </w:rPr>
              <w:t>+7.5%</w:t>
            </w:r>
          </w:p>
        </w:tc>
      </w:tr>
      <w:tr>
        <w:tc>
          <w:tcPr>
            <w:tcW w:type="dxa" w:w="4320"/>
          </w:tcPr>
          <w:p>
            <w:pPr>
              <w:jc w:val="center"/>
            </w:pPr>
            <w:r>
              <w:rPr>
                <w:sz w:val="20"/>
              </w:rPr>
              <w:t>Full-Year 2025 Projection</w:t>
            </w:r>
          </w:p>
        </w:tc>
        <w:tc>
          <w:tcPr>
            <w:tcW w:type="dxa" w:w="4320"/>
          </w:tcPr>
          <w:p>
            <w:pPr>
              <w:jc w:val="center"/>
            </w:pPr>
            <w:r>
              <w:rPr>
                <w:sz w:val="20"/>
              </w:rPr>
              <w:t>11,142,733 passengers</w:t>
            </w:r>
          </w:p>
        </w:tc>
      </w:tr>
      <w:tr>
        <w:tc>
          <w:tcPr>
            <w:tcW w:type="dxa" w:w="4320"/>
          </w:tcPr>
          <w:p>
            <w:pPr>
              <w:jc w:val="center"/>
            </w:pPr>
            <w:r>
              <w:rPr>
                <w:sz w:val="20"/>
              </w:rPr>
              <w:t>Full-Year Growth vs 2024</w:t>
            </w:r>
          </w:p>
        </w:tc>
        <w:tc>
          <w:tcPr>
            <w:tcW w:type="dxa" w:w="4320"/>
          </w:tcPr>
          <w:p>
            <w:pPr>
              <w:jc w:val="center"/>
            </w:pPr>
            <w:r>
              <w:rPr>
                <w:sz w:val="20"/>
              </w:rPr>
              <w:t>+7.9%</w:t>
            </w:r>
          </w:p>
        </w:tc>
      </w:tr>
      <w:tr>
        <w:tc>
          <w:tcPr>
            <w:tcW w:type="dxa" w:w="4320"/>
          </w:tcPr>
          <w:p>
            <w:pPr>
              <w:jc w:val="center"/>
            </w:pPr>
            <w:r>
              <w:rPr>
                <w:sz w:val="20"/>
              </w:rPr>
              <w:t>Peak Month</w:t>
            </w:r>
          </w:p>
        </w:tc>
        <w:tc>
          <w:tcPr>
            <w:tcW w:type="dxa" w:w="4320"/>
          </w:tcPr>
          <w:p>
            <w:pPr>
              <w:jc w:val="center"/>
            </w:pPr>
            <w:r>
              <w:rPr>
                <w:sz w:val="20"/>
              </w:rPr>
              <w:t>December 2025 (~1.09M pax)</w:t>
            </w:r>
          </w:p>
        </w:tc>
      </w:tr>
      <w:tr>
        <w:tc>
          <w:tcPr>
            <w:tcW w:type="dxa" w:w="4320"/>
          </w:tcPr>
          <w:p>
            <w:pPr>
              <w:jc w:val="center"/>
            </w:pPr>
            <w:r>
              <w:rPr>
                <w:sz w:val="20"/>
              </w:rPr>
              <w:t>Capacity Risk</w:t>
            </w:r>
          </w:p>
        </w:tc>
        <w:tc>
          <w:tcPr>
            <w:tcW w:type="dxa" w:w="4320"/>
          </w:tcPr>
          <w:p>
            <w:pPr>
              <w:jc w:val="center"/>
            </w:pPr>
            <w:r>
              <w:rPr>
                <w:sz w:val="20"/>
              </w:rPr>
              <w:t>All 12 routes exceed P95 in Nov-Dec</w:t>
            </w:r>
          </w:p>
        </w:tc>
      </w:tr>
    </w:tbl>
    <w:p/>
    <w:p>
      <w:r>
        <w:br w:type="page"/>
      </w:r>
    </w:p>
    <w:p>
      <w:pPr>
        <w:pStyle w:val="Heading1"/>
      </w:pPr>
      <w:r>
        <w:t>5a. Risk Identification</w:t>
      </w:r>
    </w:p>
    <w:p>
      <w:pPr>
        <w:pBdr>
          <w:bottom w:val="single" w:sz="6" w:space="1" w:color="0D47A1"/>
        </w:pBdr>
      </w:pPr>
    </w:p>
    <w:p>
      <w:pPr>
        <w:pStyle w:val="Heading2"/>
      </w:pPr>
      <w:r>
        <w:t>Overload Risk Corridors</w:t>
      </w:r>
    </w:p>
    <w:p>
      <w:r>
        <w:t>Three Express corridors are identified as high overload risk based on a composite score weighting passenger density (40%), per-stop intensity (30%), and forecast growth (30%). These routes serve the highest-demand corridors with the fewest buses, creating a structural mismatch between supply and demand.</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Route</w:t>
            </w:r>
          </w:p>
        </w:tc>
        <w:tc>
          <w:tcPr>
            <w:tcW w:type="dxa" w:w="1234"/>
          </w:tcPr>
          <w:p>
            <w:pPr>
              <w:jc w:val="center"/>
            </w:pPr>
            <w:r>
              <w:rPr>
                <w:b/>
                <w:sz w:val="20"/>
              </w:rPr>
              <w:t>Type</w:t>
            </w:r>
          </w:p>
        </w:tc>
        <w:tc>
          <w:tcPr>
            <w:tcW w:type="dxa" w:w="1234"/>
          </w:tcPr>
          <w:p>
            <w:pPr>
              <w:jc w:val="center"/>
            </w:pPr>
            <w:r>
              <w:rPr>
                <w:b/>
                <w:sz w:val="20"/>
              </w:rPr>
              <w:t>Risk</w:t>
            </w:r>
          </w:p>
        </w:tc>
        <w:tc>
          <w:tcPr>
            <w:tcW w:type="dxa" w:w="1234"/>
          </w:tcPr>
          <w:p>
            <w:pPr>
              <w:jc w:val="center"/>
            </w:pPr>
            <w:r>
              <w:rPr>
                <w:b/>
                <w:sz w:val="20"/>
              </w:rPr>
              <w:t>Pax/km</w:t>
            </w:r>
          </w:p>
        </w:tc>
        <w:tc>
          <w:tcPr>
            <w:tcW w:type="dxa" w:w="1234"/>
          </w:tcPr>
          <w:p>
            <w:pPr>
              <w:jc w:val="center"/>
            </w:pPr>
            <w:r>
              <w:rPr>
                <w:b/>
                <w:sz w:val="20"/>
              </w:rPr>
              <w:t>Pax/Stop</w:t>
            </w:r>
          </w:p>
        </w:tc>
        <w:tc>
          <w:tcPr>
            <w:tcW w:type="dxa" w:w="1234"/>
          </w:tcPr>
          <w:p>
            <w:pPr>
              <w:jc w:val="center"/>
            </w:pPr>
            <w:r>
              <w:rPr>
                <w:b/>
                <w:sz w:val="20"/>
              </w:rPr>
              <w:t>Growth</w:t>
            </w:r>
          </w:p>
        </w:tc>
        <w:tc>
          <w:tcPr>
            <w:tcW w:type="dxa" w:w="1234"/>
          </w:tcPr>
          <w:p>
            <w:pPr>
              <w:jc w:val="center"/>
            </w:pPr>
            <w:r>
              <w:rPr>
                <w:b/>
                <w:sz w:val="20"/>
              </w:rPr>
              <w:t>Action Required</w:t>
            </w:r>
          </w:p>
        </w:tc>
      </w:tr>
      <w:tr>
        <w:tc>
          <w:tcPr>
            <w:tcW w:type="dxa" w:w="1234"/>
          </w:tcPr>
          <w:p>
            <w:pPr>
              <w:jc w:val="center"/>
            </w:pPr>
            <w:r>
              <w:rPr>
                <w:sz w:val="20"/>
              </w:rPr>
              <w:t>X28</w:t>
            </w:r>
          </w:p>
        </w:tc>
        <w:tc>
          <w:tcPr>
            <w:tcW w:type="dxa" w:w="1234"/>
          </w:tcPr>
          <w:p>
            <w:pPr>
              <w:jc w:val="center"/>
            </w:pPr>
            <w:r>
              <w:rPr>
                <w:sz w:val="20"/>
              </w:rPr>
              <w:t>Express</w:t>
            </w:r>
          </w:p>
        </w:tc>
        <w:tc>
          <w:tcPr>
            <w:tcW w:type="dxa" w:w="1234"/>
          </w:tcPr>
          <w:p>
            <w:pPr>
              <w:jc w:val="center"/>
            </w:pPr>
            <w:r>
              <w:rPr>
                <w:sz w:val="20"/>
              </w:rPr>
              <w:t>89</w:t>
            </w:r>
          </w:p>
        </w:tc>
        <w:tc>
          <w:tcPr>
            <w:tcW w:type="dxa" w:w="1234"/>
          </w:tcPr>
          <w:p>
            <w:pPr>
              <w:jc w:val="center"/>
            </w:pPr>
            <w:r>
              <w:rPr>
                <w:sz w:val="20"/>
              </w:rPr>
              <w:t>18.8</w:t>
            </w:r>
          </w:p>
        </w:tc>
        <w:tc>
          <w:tcPr>
            <w:tcW w:type="dxa" w:w="1234"/>
          </w:tcPr>
          <w:p>
            <w:pPr>
              <w:jc w:val="center"/>
            </w:pPr>
            <w:r>
              <w:rPr>
                <w:sz w:val="20"/>
              </w:rPr>
              <w:t>374</w:t>
            </w:r>
          </w:p>
        </w:tc>
        <w:tc>
          <w:tcPr>
            <w:tcW w:type="dxa" w:w="1234"/>
          </w:tcPr>
          <w:p>
            <w:pPr>
              <w:jc w:val="center"/>
            </w:pPr>
            <w:r>
              <w:rPr>
                <w:sz w:val="20"/>
              </w:rPr>
              <w:t>+8.0%</w:t>
            </w:r>
          </w:p>
        </w:tc>
        <w:tc>
          <w:tcPr>
            <w:tcW w:type="dxa" w:w="1234"/>
          </w:tcPr>
          <w:p>
            <w:pPr>
              <w:jc w:val="center"/>
            </w:pPr>
            <w:r>
              <w:rPr>
                <w:sz w:val="20"/>
              </w:rPr>
              <w:t>Add 3 buses immediately</w:t>
            </w:r>
          </w:p>
        </w:tc>
      </w:tr>
      <w:tr>
        <w:tc>
          <w:tcPr>
            <w:tcW w:type="dxa" w:w="1234"/>
          </w:tcPr>
          <w:p>
            <w:pPr>
              <w:jc w:val="center"/>
            </w:pPr>
            <w:r>
              <w:rPr>
                <w:sz w:val="20"/>
              </w:rPr>
              <w:t>X11</w:t>
            </w:r>
          </w:p>
        </w:tc>
        <w:tc>
          <w:tcPr>
            <w:tcW w:type="dxa" w:w="1234"/>
          </w:tcPr>
          <w:p>
            <w:pPr>
              <w:jc w:val="center"/>
            </w:pPr>
            <w:r>
              <w:rPr>
                <w:sz w:val="20"/>
              </w:rPr>
              <w:t>Express</w:t>
            </w:r>
          </w:p>
        </w:tc>
        <w:tc>
          <w:tcPr>
            <w:tcW w:type="dxa" w:w="1234"/>
          </w:tcPr>
          <w:p>
            <w:pPr>
              <w:jc w:val="center"/>
            </w:pPr>
            <w:r>
              <w:rPr>
                <w:sz w:val="20"/>
              </w:rPr>
              <w:t>68</w:t>
            </w:r>
          </w:p>
        </w:tc>
        <w:tc>
          <w:tcPr>
            <w:tcW w:type="dxa" w:w="1234"/>
          </w:tcPr>
          <w:p>
            <w:pPr>
              <w:jc w:val="center"/>
            </w:pPr>
            <w:r>
              <w:rPr>
                <w:sz w:val="20"/>
              </w:rPr>
              <w:t>10.3</w:t>
            </w:r>
          </w:p>
        </w:tc>
        <w:tc>
          <w:tcPr>
            <w:tcW w:type="dxa" w:w="1234"/>
          </w:tcPr>
          <w:p>
            <w:pPr>
              <w:jc w:val="center"/>
            </w:pPr>
            <w:r>
              <w:rPr>
                <w:sz w:val="20"/>
              </w:rPr>
              <w:t>437</w:t>
            </w:r>
          </w:p>
        </w:tc>
        <w:tc>
          <w:tcPr>
            <w:tcW w:type="dxa" w:w="1234"/>
          </w:tcPr>
          <w:p>
            <w:pPr>
              <w:jc w:val="center"/>
            </w:pPr>
            <w:r>
              <w:rPr>
                <w:sz w:val="20"/>
              </w:rPr>
              <w:t>+8.4%</w:t>
            </w:r>
          </w:p>
        </w:tc>
        <w:tc>
          <w:tcPr>
            <w:tcW w:type="dxa" w:w="1234"/>
          </w:tcPr>
          <w:p>
            <w:pPr>
              <w:jc w:val="center"/>
            </w:pPr>
            <w:r>
              <w:rPr>
                <w:sz w:val="20"/>
              </w:rPr>
              <w:t>Monitor + 1 contingency bus</w:t>
            </w:r>
          </w:p>
        </w:tc>
      </w:tr>
      <w:tr>
        <w:tc>
          <w:tcPr>
            <w:tcW w:type="dxa" w:w="1234"/>
          </w:tcPr>
          <w:p>
            <w:pPr>
              <w:jc w:val="center"/>
            </w:pPr>
            <w:r>
              <w:rPr>
                <w:sz w:val="20"/>
              </w:rPr>
              <w:t>X66</w:t>
            </w:r>
          </w:p>
        </w:tc>
        <w:tc>
          <w:tcPr>
            <w:tcW w:type="dxa" w:w="1234"/>
          </w:tcPr>
          <w:p>
            <w:pPr>
              <w:jc w:val="center"/>
            </w:pPr>
            <w:r>
              <w:rPr>
                <w:sz w:val="20"/>
              </w:rPr>
              <w:t>Express</w:t>
            </w:r>
          </w:p>
        </w:tc>
        <w:tc>
          <w:tcPr>
            <w:tcW w:type="dxa" w:w="1234"/>
          </w:tcPr>
          <w:p>
            <w:pPr>
              <w:jc w:val="center"/>
            </w:pPr>
            <w:r>
              <w:rPr>
                <w:sz w:val="20"/>
              </w:rPr>
              <w:t>60</w:t>
            </w:r>
          </w:p>
        </w:tc>
        <w:tc>
          <w:tcPr>
            <w:tcW w:type="dxa" w:w="1234"/>
          </w:tcPr>
          <w:p>
            <w:pPr>
              <w:jc w:val="center"/>
            </w:pPr>
            <w:r>
              <w:rPr>
                <w:sz w:val="20"/>
              </w:rPr>
              <w:t>12.3</w:t>
            </w:r>
          </w:p>
        </w:tc>
        <w:tc>
          <w:tcPr>
            <w:tcW w:type="dxa" w:w="1234"/>
          </w:tcPr>
          <w:p>
            <w:pPr>
              <w:jc w:val="center"/>
            </w:pPr>
            <w:r>
              <w:rPr>
                <w:sz w:val="20"/>
              </w:rPr>
              <w:t>330</w:t>
            </w:r>
          </w:p>
        </w:tc>
        <w:tc>
          <w:tcPr>
            <w:tcW w:type="dxa" w:w="1234"/>
          </w:tcPr>
          <w:p>
            <w:pPr>
              <w:jc w:val="center"/>
            </w:pPr>
            <w:r>
              <w:rPr>
                <w:sz w:val="20"/>
              </w:rPr>
              <w:t>+7.2%</w:t>
            </w:r>
          </w:p>
        </w:tc>
        <w:tc>
          <w:tcPr>
            <w:tcW w:type="dxa" w:w="1234"/>
          </w:tcPr>
          <w:p>
            <w:pPr>
              <w:jc w:val="center"/>
            </w:pPr>
            <w:r>
              <w:rPr>
                <w:sz w:val="20"/>
              </w:rPr>
              <w:t>Review headway schedule</w:t>
            </w:r>
          </w:p>
        </w:tc>
      </w:tr>
    </w:tbl>
    <w:p/>
    <w:p>
      <w:pPr>
        <w:pStyle w:val="Heading2"/>
      </w:pPr>
      <w:r>
        <w:t>Underutilized Capacity</w:t>
      </w:r>
    </w:p>
    <w:p>
      <w:r>
        <w:t>Three routes show significant capacity waste — low passenger density relative to their route length and stop count. These represent an opportunity to reallocate resources without new capital expenditure.</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Route</w:t>
            </w:r>
          </w:p>
        </w:tc>
        <w:tc>
          <w:tcPr>
            <w:tcW w:type="dxa" w:w="1234"/>
          </w:tcPr>
          <w:p>
            <w:pPr>
              <w:jc w:val="center"/>
            </w:pPr>
            <w:r>
              <w:rPr>
                <w:b/>
                <w:sz w:val="20"/>
              </w:rPr>
              <w:t>Type</w:t>
            </w:r>
          </w:p>
        </w:tc>
        <w:tc>
          <w:tcPr>
            <w:tcW w:type="dxa" w:w="1234"/>
          </w:tcPr>
          <w:p>
            <w:pPr>
              <w:jc w:val="center"/>
            </w:pPr>
            <w:r>
              <w:rPr>
                <w:b/>
                <w:sz w:val="20"/>
              </w:rPr>
              <w:t>Waste</w:t>
            </w:r>
          </w:p>
        </w:tc>
        <w:tc>
          <w:tcPr>
            <w:tcW w:type="dxa" w:w="1234"/>
          </w:tcPr>
          <w:p>
            <w:pPr>
              <w:jc w:val="center"/>
            </w:pPr>
            <w:r>
              <w:rPr>
                <w:b/>
                <w:sz w:val="20"/>
              </w:rPr>
              <w:t>Pax/km</w:t>
            </w:r>
          </w:p>
        </w:tc>
        <w:tc>
          <w:tcPr>
            <w:tcW w:type="dxa" w:w="1234"/>
          </w:tcPr>
          <w:p>
            <w:pPr>
              <w:jc w:val="center"/>
            </w:pPr>
            <w:r>
              <w:rPr>
                <w:b/>
                <w:sz w:val="20"/>
              </w:rPr>
              <w:t>Length</w:t>
            </w:r>
          </w:p>
        </w:tc>
        <w:tc>
          <w:tcPr>
            <w:tcW w:type="dxa" w:w="1234"/>
          </w:tcPr>
          <w:p>
            <w:pPr>
              <w:jc w:val="center"/>
            </w:pPr>
            <w:r>
              <w:rPr>
                <w:b/>
                <w:sz w:val="20"/>
              </w:rPr>
              <w:t>Stops</w:t>
            </w:r>
          </w:p>
        </w:tc>
        <w:tc>
          <w:tcPr>
            <w:tcW w:type="dxa" w:w="1234"/>
          </w:tcPr>
          <w:p>
            <w:pPr>
              <w:jc w:val="center"/>
            </w:pPr>
            <w:r>
              <w:rPr>
                <w:b/>
                <w:sz w:val="20"/>
              </w:rPr>
              <w:t>Recommendation</w:t>
            </w:r>
          </w:p>
        </w:tc>
      </w:tr>
      <w:tr>
        <w:tc>
          <w:tcPr>
            <w:tcW w:type="dxa" w:w="1234"/>
          </w:tcPr>
          <w:p>
            <w:pPr>
              <w:jc w:val="center"/>
            </w:pPr>
            <w:r>
              <w:rPr>
                <w:sz w:val="20"/>
              </w:rPr>
              <w:t>F18</w:t>
            </w:r>
          </w:p>
        </w:tc>
        <w:tc>
          <w:tcPr>
            <w:tcW w:type="dxa" w:w="1234"/>
          </w:tcPr>
          <w:p>
            <w:pPr>
              <w:jc w:val="center"/>
            </w:pPr>
            <w:r>
              <w:rPr>
                <w:sz w:val="20"/>
              </w:rPr>
              <w:t>Feeder</w:t>
            </w:r>
          </w:p>
        </w:tc>
        <w:tc>
          <w:tcPr>
            <w:tcW w:type="dxa" w:w="1234"/>
          </w:tcPr>
          <w:p>
            <w:pPr>
              <w:jc w:val="center"/>
            </w:pPr>
            <w:r>
              <w:rPr>
                <w:sz w:val="20"/>
              </w:rPr>
              <w:t>88</w:t>
            </w:r>
          </w:p>
        </w:tc>
        <w:tc>
          <w:tcPr>
            <w:tcW w:type="dxa" w:w="1234"/>
          </w:tcPr>
          <w:p>
            <w:pPr>
              <w:jc w:val="center"/>
            </w:pPr>
            <w:r>
              <w:rPr>
                <w:sz w:val="20"/>
              </w:rPr>
              <w:t>10.0</w:t>
            </w:r>
          </w:p>
        </w:tc>
        <w:tc>
          <w:tcPr>
            <w:tcW w:type="dxa" w:w="1234"/>
          </w:tcPr>
          <w:p>
            <w:pPr>
              <w:jc w:val="center"/>
            </w:pPr>
            <w:r>
              <w:rPr>
                <w:sz w:val="20"/>
              </w:rPr>
              <w:t>18.1 km</w:t>
            </w:r>
          </w:p>
        </w:tc>
        <w:tc>
          <w:tcPr>
            <w:tcW w:type="dxa" w:w="1234"/>
          </w:tcPr>
          <w:p>
            <w:pPr>
              <w:jc w:val="center"/>
            </w:pPr>
            <w:r>
              <w:rPr>
                <w:sz w:val="20"/>
              </w:rPr>
              <w:t>6</w:t>
            </w:r>
          </w:p>
        </w:tc>
        <w:tc>
          <w:tcPr>
            <w:tcW w:type="dxa" w:w="1234"/>
          </w:tcPr>
          <w:p>
            <w:pPr>
              <w:jc w:val="center"/>
            </w:pPr>
            <w:r>
              <w:rPr>
                <w:sz w:val="20"/>
              </w:rPr>
              <w:t>Reduce 1 bus</w:t>
            </w:r>
          </w:p>
        </w:tc>
      </w:tr>
      <w:tr>
        <w:tc>
          <w:tcPr>
            <w:tcW w:type="dxa" w:w="1234"/>
          </w:tcPr>
          <w:p>
            <w:pPr>
              <w:jc w:val="center"/>
            </w:pPr>
            <w:r>
              <w:rPr>
                <w:sz w:val="20"/>
              </w:rPr>
              <w:t>E16</w:t>
            </w:r>
          </w:p>
        </w:tc>
        <w:tc>
          <w:tcPr>
            <w:tcW w:type="dxa" w:w="1234"/>
          </w:tcPr>
          <w:p>
            <w:pPr>
              <w:jc w:val="center"/>
            </w:pPr>
            <w:r>
              <w:rPr>
                <w:sz w:val="20"/>
              </w:rPr>
              <w:t>Intercity</w:t>
            </w:r>
          </w:p>
        </w:tc>
        <w:tc>
          <w:tcPr>
            <w:tcW w:type="dxa" w:w="1234"/>
          </w:tcPr>
          <w:p>
            <w:pPr>
              <w:jc w:val="center"/>
            </w:pPr>
            <w:r>
              <w:rPr>
                <w:sz w:val="20"/>
              </w:rPr>
              <w:t>75</w:t>
            </w:r>
          </w:p>
        </w:tc>
        <w:tc>
          <w:tcPr>
            <w:tcW w:type="dxa" w:w="1234"/>
          </w:tcPr>
          <w:p>
            <w:pPr>
              <w:jc w:val="center"/>
            </w:pPr>
            <w:r>
              <w:rPr>
                <w:sz w:val="20"/>
              </w:rPr>
              <w:t>7.6</w:t>
            </w:r>
          </w:p>
        </w:tc>
        <w:tc>
          <w:tcPr>
            <w:tcW w:type="dxa" w:w="1234"/>
          </w:tcPr>
          <w:p>
            <w:pPr>
              <w:jc w:val="center"/>
            </w:pPr>
            <w:r>
              <w:rPr>
                <w:sz w:val="20"/>
              </w:rPr>
              <w:t>22.1 km</w:t>
            </w:r>
          </w:p>
        </w:tc>
        <w:tc>
          <w:tcPr>
            <w:tcW w:type="dxa" w:w="1234"/>
          </w:tcPr>
          <w:p>
            <w:pPr>
              <w:jc w:val="center"/>
            </w:pPr>
            <w:r>
              <w:rPr>
                <w:sz w:val="20"/>
              </w:rPr>
              <w:t>5</w:t>
            </w:r>
          </w:p>
        </w:tc>
        <w:tc>
          <w:tcPr>
            <w:tcW w:type="dxa" w:w="1234"/>
          </w:tcPr>
          <w:p>
            <w:pPr>
              <w:jc w:val="center"/>
            </w:pPr>
            <w:r>
              <w:rPr>
                <w:sz w:val="20"/>
              </w:rPr>
              <w:t>Reduce 1 bus</w:t>
            </w:r>
          </w:p>
        </w:tc>
      </w:tr>
      <w:tr>
        <w:tc>
          <w:tcPr>
            <w:tcW w:type="dxa" w:w="1234"/>
          </w:tcPr>
          <w:p>
            <w:pPr>
              <w:jc w:val="center"/>
            </w:pPr>
            <w:r>
              <w:rPr>
                <w:sz w:val="20"/>
              </w:rPr>
              <w:t>F12</w:t>
            </w:r>
          </w:p>
        </w:tc>
        <w:tc>
          <w:tcPr>
            <w:tcW w:type="dxa" w:w="1234"/>
          </w:tcPr>
          <w:p>
            <w:pPr>
              <w:jc w:val="center"/>
            </w:pPr>
            <w:r>
              <w:rPr>
                <w:sz w:val="20"/>
              </w:rPr>
              <w:t>Feeder</w:t>
            </w:r>
          </w:p>
        </w:tc>
        <w:tc>
          <w:tcPr>
            <w:tcW w:type="dxa" w:w="1234"/>
          </w:tcPr>
          <w:p>
            <w:pPr>
              <w:jc w:val="center"/>
            </w:pPr>
            <w:r>
              <w:rPr>
                <w:sz w:val="20"/>
              </w:rPr>
              <w:t>75</w:t>
            </w:r>
          </w:p>
        </w:tc>
        <w:tc>
          <w:tcPr>
            <w:tcW w:type="dxa" w:w="1234"/>
          </w:tcPr>
          <w:p>
            <w:pPr>
              <w:jc w:val="center"/>
            </w:pPr>
            <w:r>
              <w:rPr>
                <w:sz w:val="20"/>
              </w:rPr>
              <w:t>6.7</w:t>
            </w:r>
          </w:p>
        </w:tc>
        <w:tc>
          <w:tcPr>
            <w:tcW w:type="dxa" w:w="1234"/>
          </w:tcPr>
          <w:p>
            <w:pPr>
              <w:jc w:val="center"/>
            </w:pPr>
            <w:r>
              <w:rPr>
                <w:sz w:val="20"/>
              </w:rPr>
              <w:t>27.0 km</w:t>
            </w:r>
          </w:p>
        </w:tc>
        <w:tc>
          <w:tcPr>
            <w:tcW w:type="dxa" w:w="1234"/>
          </w:tcPr>
          <w:p>
            <w:pPr>
              <w:jc w:val="center"/>
            </w:pPr>
            <w:r>
              <w:rPr>
                <w:sz w:val="20"/>
              </w:rPr>
              <w:t>5</w:t>
            </w:r>
          </w:p>
        </w:tc>
        <w:tc>
          <w:tcPr>
            <w:tcW w:type="dxa" w:w="1234"/>
          </w:tcPr>
          <w:p>
            <w:pPr>
              <w:jc w:val="center"/>
            </w:pPr>
            <w:r>
              <w:rPr>
                <w:sz w:val="20"/>
              </w:rPr>
              <w:t>Reduce 3 buses</w:t>
            </w:r>
          </w:p>
        </w:tc>
      </w:tr>
    </w:tbl>
    <w:p/>
    <w:p>
      <w:pPr>
        <w:pStyle w:val="Heading2"/>
      </w:pPr>
      <w:r>
        <w:t>Emerging Imbalance</w:t>
      </w:r>
    </w:p>
    <w:p>
      <w:r>
        <w:t>The most critical emerging imbalance is the Coastal Marina zone. Despite ranking 5th in total volume, it has the highest per-stop intensity in the network (199 avg passengers/stop-day). With only 5 stops serving this zone, each stop bears disproportionate load — Stop 31 reaches 326 pax/dwell-minute, making it the single most congested boarding point in the network. This bottleneck is worsening as coastal development drives population growth.</w:t>
      </w:r>
    </w:p>
    <w:p>
      <w:r>
        <w:br w:type="page"/>
      </w:r>
    </w:p>
    <w:p>
      <w:pPr>
        <w:pStyle w:val="Heading1"/>
      </w:pPr>
      <w:r>
        <w:t>5b. Operational Adjustment Proposals</w:t>
      </w:r>
    </w:p>
    <w:p>
      <w:pPr>
        <w:pBdr>
          <w:bottom w:val="single" w:sz="6" w:space="1" w:color="0D47A1"/>
        </w:pBdr>
      </w:pPr>
    </w:p>
    <w:p>
      <w:pPr>
        <w:pStyle w:val="Heading2"/>
      </w:pPr>
      <w:r>
        <w:t>Fleet Reallocation (Budget-Neutral)</w:t>
      </w:r>
    </w:p>
    <w:p>
      <w:r>
        <w:t>The single most impactful intervention requires zero additional capital: redistribute 11 buses from underutilized routes to overloaded corridors. The total fleet stays at 81 buses — only the distribution changes.</w:t>
      </w:r>
    </w:p>
    <w:p>
      <w:pPr>
        <w:jc w:val="center"/>
      </w:pPr>
      <w:r>
        <w:drawing>
          <wp:inline xmlns:a="http://schemas.openxmlformats.org/drawingml/2006/main" xmlns:pic="http://schemas.openxmlformats.org/drawingml/2006/picture">
            <wp:extent cx="5669280" cy="2834640"/>
            <wp:docPr id="14" name="Picture 14"/>
            <wp:cNvGraphicFramePr>
              <a:graphicFrameLocks noChangeAspect="1"/>
            </wp:cNvGraphicFramePr>
            <a:graphic>
              <a:graphicData uri="http://schemas.openxmlformats.org/drawingml/2006/picture">
                <pic:pic>
                  <pic:nvPicPr>
                    <pic:cNvPr id="0" name="11_fleet_reallocation.png"/>
                    <pic:cNvPicPr/>
                  </pic:nvPicPr>
                  <pic:blipFill>
                    <a:blip r:embed="rId22"/>
                    <a:stretch>
                      <a:fillRect/>
                    </a:stretch>
                  </pic:blipFill>
                  <pic:spPr>
                    <a:xfrm>
                      <a:off x="0" y="0"/>
                      <a:ext cx="5669280" cy="2834640"/>
                    </a:xfrm>
                    <a:prstGeom prst="rect"/>
                  </pic:spPr>
                </pic:pic>
              </a:graphicData>
            </a:graphic>
          </wp:inline>
        </w:drawing>
      </w:r>
    </w:p>
    <w:p>
      <w:pPr>
        <w:jc w:val="center"/>
      </w:pPr>
      <w:r>
        <w:rPr>
          <w:i/>
          <w:color w:val="616161"/>
          <w:sz w:val="18"/>
        </w:rPr>
        <w:t>Figure 14: Current vs Proposed fleet allocation — 11 buses redistributed, blue = current, colored = proposed</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Route</w:t>
            </w:r>
          </w:p>
        </w:tc>
        <w:tc>
          <w:tcPr>
            <w:tcW w:type="dxa" w:w="1440"/>
          </w:tcPr>
          <w:p>
            <w:pPr>
              <w:jc w:val="center"/>
            </w:pPr>
            <w:r>
              <w:rPr>
                <w:b/>
                <w:sz w:val="20"/>
              </w:rPr>
              <w:t>Type</w:t>
            </w:r>
          </w:p>
        </w:tc>
        <w:tc>
          <w:tcPr>
            <w:tcW w:type="dxa" w:w="1440"/>
          </w:tcPr>
          <w:p>
            <w:pPr>
              <w:jc w:val="center"/>
            </w:pPr>
            <w:r>
              <w:rPr>
                <w:b/>
                <w:sz w:val="20"/>
              </w:rPr>
              <w:t>Current</w:t>
            </w:r>
          </w:p>
        </w:tc>
        <w:tc>
          <w:tcPr>
            <w:tcW w:type="dxa" w:w="1440"/>
          </w:tcPr>
          <w:p>
            <w:pPr>
              <w:jc w:val="center"/>
            </w:pPr>
            <w:r>
              <w:rPr>
                <w:b/>
                <w:sz w:val="20"/>
              </w:rPr>
              <w:t>Proposed</w:t>
            </w:r>
          </w:p>
        </w:tc>
        <w:tc>
          <w:tcPr>
            <w:tcW w:type="dxa" w:w="1440"/>
          </w:tcPr>
          <w:p>
            <w:pPr>
              <w:jc w:val="center"/>
            </w:pPr>
            <w:r>
              <w:rPr>
                <w:b/>
                <w:sz w:val="20"/>
              </w:rPr>
              <w:t>Change</w:t>
            </w:r>
          </w:p>
        </w:tc>
        <w:tc>
          <w:tcPr>
            <w:tcW w:type="dxa" w:w="1440"/>
          </w:tcPr>
          <w:p>
            <w:pPr>
              <w:jc w:val="center"/>
            </w:pPr>
            <w:r>
              <w:rPr>
                <w:b/>
                <w:sz w:val="20"/>
              </w:rPr>
              <w:t>Headway Impact</w:t>
            </w:r>
          </w:p>
        </w:tc>
      </w:tr>
      <w:tr>
        <w:tc>
          <w:tcPr>
            <w:tcW w:type="dxa" w:w="1440"/>
          </w:tcPr>
          <w:p>
            <w:pPr>
              <w:jc w:val="center"/>
            </w:pPr>
            <w:r>
              <w:rPr>
                <w:sz w:val="20"/>
              </w:rPr>
              <w:t>X28</w:t>
            </w:r>
          </w:p>
        </w:tc>
        <w:tc>
          <w:tcPr>
            <w:tcW w:type="dxa" w:w="1440"/>
          </w:tcPr>
          <w:p>
            <w:pPr>
              <w:jc w:val="center"/>
            </w:pPr>
            <w:r>
              <w:rPr>
                <w:sz w:val="20"/>
              </w:rPr>
              <w:t>Express</w:t>
            </w:r>
          </w:p>
        </w:tc>
        <w:tc>
          <w:tcPr>
            <w:tcW w:type="dxa" w:w="1440"/>
          </w:tcPr>
          <w:p>
            <w:pPr>
              <w:jc w:val="center"/>
            </w:pPr>
            <w:r>
              <w:rPr>
                <w:sz w:val="20"/>
              </w:rPr>
              <w:t>7</w:t>
            </w:r>
          </w:p>
        </w:tc>
        <w:tc>
          <w:tcPr>
            <w:tcW w:type="dxa" w:w="1440"/>
          </w:tcPr>
          <w:p>
            <w:pPr>
              <w:jc w:val="center"/>
            </w:pPr>
            <w:r>
              <w:rPr>
                <w:sz w:val="20"/>
              </w:rPr>
              <w:t>10</w:t>
            </w:r>
          </w:p>
        </w:tc>
        <w:tc>
          <w:tcPr>
            <w:tcW w:type="dxa" w:w="1440"/>
          </w:tcPr>
          <w:p>
            <w:pPr>
              <w:jc w:val="center"/>
            </w:pPr>
            <w:r>
              <w:rPr>
                <w:sz w:val="20"/>
              </w:rPr>
              <w:t>+3</w:t>
            </w:r>
          </w:p>
        </w:tc>
        <w:tc>
          <w:tcPr>
            <w:tcW w:type="dxa" w:w="1440"/>
          </w:tcPr>
          <w:p>
            <w:pPr>
              <w:jc w:val="center"/>
            </w:pPr>
            <w:r>
              <w:rPr>
                <w:sz w:val="20"/>
              </w:rPr>
              <w:t>20 min → 12.4 min (38% ↓)</w:t>
            </w:r>
          </w:p>
        </w:tc>
      </w:tr>
      <w:tr>
        <w:tc>
          <w:tcPr>
            <w:tcW w:type="dxa" w:w="1440"/>
          </w:tcPr>
          <w:p>
            <w:pPr>
              <w:jc w:val="center"/>
            </w:pPr>
            <w:r>
              <w:rPr>
                <w:sz w:val="20"/>
              </w:rPr>
              <w:t>C03</w:t>
            </w:r>
          </w:p>
        </w:tc>
        <w:tc>
          <w:tcPr>
            <w:tcW w:type="dxa" w:w="1440"/>
          </w:tcPr>
          <w:p>
            <w:pPr>
              <w:jc w:val="center"/>
            </w:pPr>
            <w:r>
              <w:rPr>
                <w:sz w:val="20"/>
              </w:rPr>
              <w:t>City</w:t>
            </w:r>
          </w:p>
        </w:tc>
        <w:tc>
          <w:tcPr>
            <w:tcW w:type="dxa" w:w="1440"/>
          </w:tcPr>
          <w:p>
            <w:pPr>
              <w:jc w:val="center"/>
            </w:pPr>
            <w:r>
              <w:rPr>
                <w:sz w:val="20"/>
              </w:rPr>
              <w:t>8</w:t>
            </w:r>
          </w:p>
        </w:tc>
        <w:tc>
          <w:tcPr>
            <w:tcW w:type="dxa" w:w="1440"/>
          </w:tcPr>
          <w:p>
            <w:pPr>
              <w:jc w:val="center"/>
            </w:pPr>
            <w:r>
              <w:rPr>
                <w:sz w:val="20"/>
              </w:rPr>
              <w:t>10</w:t>
            </w:r>
          </w:p>
        </w:tc>
        <w:tc>
          <w:tcPr>
            <w:tcW w:type="dxa" w:w="1440"/>
          </w:tcPr>
          <w:p>
            <w:pPr>
              <w:jc w:val="center"/>
            </w:pPr>
            <w:r>
              <w:rPr>
                <w:sz w:val="20"/>
              </w:rPr>
              <w:t>+2</w:t>
            </w:r>
          </w:p>
        </w:tc>
        <w:tc>
          <w:tcPr>
            <w:tcW w:type="dxa" w:w="1440"/>
          </w:tcPr>
          <w:p>
            <w:pPr>
              <w:jc w:val="center"/>
            </w:pPr>
            <w:r>
              <w:rPr>
                <w:sz w:val="20"/>
              </w:rPr>
              <w:t>15 min → 11.5 min (23% ↓)</w:t>
            </w:r>
          </w:p>
        </w:tc>
      </w:tr>
      <w:tr>
        <w:tc>
          <w:tcPr>
            <w:tcW w:type="dxa" w:w="1440"/>
          </w:tcPr>
          <w:p>
            <w:pPr>
              <w:jc w:val="center"/>
            </w:pPr>
            <w:r>
              <w:rPr>
                <w:sz w:val="20"/>
              </w:rPr>
              <w:t>C02</w:t>
            </w:r>
          </w:p>
        </w:tc>
        <w:tc>
          <w:tcPr>
            <w:tcW w:type="dxa" w:w="1440"/>
          </w:tcPr>
          <w:p>
            <w:pPr>
              <w:jc w:val="center"/>
            </w:pPr>
            <w:r>
              <w:rPr>
                <w:sz w:val="20"/>
              </w:rPr>
              <w:t>City</w:t>
            </w:r>
          </w:p>
        </w:tc>
        <w:tc>
          <w:tcPr>
            <w:tcW w:type="dxa" w:w="1440"/>
          </w:tcPr>
          <w:p>
            <w:pPr>
              <w:jc w:val="center"/>
            </w:pPr>
            <w:r>
              <w:rPr>
                <w:sz w:val="20"/>
              </w:rPr>
              <w:t>5</w:t>
            </w:r>
          </w:p>
        </w:tc>
        <w:tc>
          <w:tcPr>
            <w:tcW w:type="dxa" w:w="1440"/>
          </w:tcPr>
          <w:p>
            <w:pPr>
              <w:jc w:val="center"/>
            </w:pPr>
            <w:r>
              <w:rPr>
                <w:sz w:val="20"/>
              </w:rPr>
              <w:t>7</w:t>
            </w:r>
          </w:p>
        </w:tc>
        <w:tc>
          <w:tcPr>
            <w:tcW w:type="dxa" w:w="1440"/>
          </w:tcPr>
          <w:p>
            <w:pPr>
              <w:jc w:val="center"/>
            </w:pPr>
            <w:r>
              <w:rPr>
                <w:sz w:val="20"/>
              </w:rPr>
              <w:t>+2</w:t>
            </w:r>
          </w:p>
        </w:tc>
        <w:tc>
          <w:tcPr>
            <w:tcW w:type="dxa" w:w="1440"/>
          </w:tcPr>
          <w:p>
            <w:pPr>
              <w:jc w:val="center"/>
            </w:pPr>
            <w:r>
              <w:rPr>
                <w:sz w:val="20"/>
              </w:rPr>
              <w:t>20 min → 14.3 min (28% ↓)</w:t>
            </w:r>
          </w:p>
        </w:tc>
      </w:tr>
      <w:tr>
        <w:tc>
          <w:tcPr>
            <w:tcW w:type="dxa" w:w="1440"/>
          </w:tcPr>
          <w:p>
            <w:pPr>
              <w:jc w:val="center"/>
            </w:pPr>
            <w:r>
              <w:rPr>
                <w:sz w:val="20"/>
              </w:rPr>
              <w:t>E22</w:t>
            </w:r>
          </w:p>
        </w:tc>
        <w:tc>
          <w:tcPr>
            <w:tcW w:type="dxa" w:w="1440"/>
          </w:tcPr>
          <w:p>
            <w:pPr>
              <w:jc w:val="center"/>
            </w:pPr>
            <w:r>
              <w:rPr>
                <w:sz w:val="20"/>
              </w:rPr>
              <w:t>Intercity</w:t>
            </w:r>
          </w:p>
        </w:tc>
        <w:tc>
          <w:tcPr>
            <w:tcW w:type="dxa" w:w="1440"/>
          </w:tcPr>
          <w:p>
            <w:pPr>
              <w:jc w:val="center"/>
            </w:pPr>
            <w:r>
              <w:rPr>
                <w:sz w:val="20"/>
              </w:rPr>
              <w:t>6</w:t>
            </w:r>
          </w:p>
        </w:tc>
        <w:tc>
          <w:tcPr>
            <w:tcW w:type="dxa" w:w="1440"/>
          </w:tcPr>
          <w:p>
            <w:pPr>
              <w:jc w:val="center"/>
            </w:pPr>
            <w:r>
              <w:rPr>
                <w:sz w:val="20"/>
              </w:rPr>
              <w:t>8</w:t>
            </w:r>
          </w:p>
        </w:tc>
        <w:tc>
          <w:tcPr>
            <w:tcW w:type="dxa" w:w="1440"/>
          </w:tcPr>
          <w:p>
            <w:pPr>
              <w:jc w:val="center"/>
            </w:pPr>
            <w:r>
              <w:rPr>
                <w:sz w:val="20"/>
              </w:rPr>
              <w:t>+2</w:t>
            </w:r>
          </w:p>
        </w:tc>
        <w:tc>
          <w:tcPr>
            <w:tcW w:type="dxa" w:w="1440"/>
          </w:tcPr>
          <w:p>
            <w:pPr>
              <w:jc w:val="center"/>
            </w:pPr>
            <w:r>
              <w:rPr>
                <w:sz w:val="20"/>
              </w:rPr>
              <w:t>20 min → 13.3 min (33% ↓)</w:t>
            </w:r>
          </w:p>
        </w:tc>
      </w:tr>
      <w:tr>
        <w:tc>
          <w:tcPr>
            <w:tcW w:type="dxa" w:w="1440"/>
          </w:tcPr>
          <w:p>
            <w:pPr>
              <w:jc w:val="center"/>
            </w:pPr>
            <w:r>
              <w:rPr>
                <w:sz w:val="20"/>
              </w:rPr>
              <w:t>F25</w:t>
            </w:r>
          </w:p>
        </w:tc>
        <w:tc>
          <w:tcPr>
            <w:tcW w:type="dxa" w:w="1440"/>
          </w:tcPr>
          <w:p>
            <w:pPr>
              <w:jc w:val="center"/>
            </w:pPr>
            <w:r>
              <w:rPr>
                <w:sz w:val="20"/>
              </w:rPr>
              <w:t>Feeder</w:t>
            </w:r>
          </w:p>
        </w:tc>
        <w:tc>
          <w:tcPr>
            <w:tcW w:type="dxa" w:w="1440"/>
          </w:tcPr>
          <w:p>
            <w:pPr>
              <w:jc w:val="center"/>
            </w:pPr>
            <w:r>
              <w:rPr>
                <w:sz w:val="20"/>
              </w:rPr>
              <w:t>7</w:t>
            </w:r>
          </w:p>
        </w:tc>
        <w:tc>
          <w:tcPr>
            <w:tcW w:type="dxa" w:w="1440"/>
          </w:tcPr>
          <w:p>
            <w:pPr>
              <w:jc w:val="center"/>
            </w:pPr>
            <w:r>
              <w:rPr>
                <w:sz w:val="20"/>
              </w:rPr>
              <w:t>9</w:t>
            </w:r>
          </w:p>
        </w:tc>
        <w:tc>
          <w:tcPr>
            <w:tcW w:type="dxa" w:w="1440"/>
          </w:tcPr>
          <w:p>
            <w:pPr>
              <w:jc w:val="center"/>
            </w:pPr>
            <w:r>
              <w:rPr>
                <w:sz w:val="20"/>
              </w:rPr>
              <w:t>+2</w:t>
            </w:r>
          </w:p>
        </w:tc>
        <w:tc>
          <w:tcPr>
            <w:tcW w:type="dxa" w:w="1440"/>
          </w:tcPr>
          <w:p>
            <w:pPr>
              <w:jc w:val="center"/>
            </w:pPr>
            <w:r>
              <w:rPr>
                <w:sz w:val="20"/>
              </w:rPr>
              <w:t>20 min → 14.7 min (26% ↓)</w:t>
            </w:r>
          </w:p>
        </w:tc>
      </w:tr>
      <w:tr>
        <w:tc>
          <w:tcPr>
            <w:tcW w:type="dxa" w:w="1440"/>
          </w:tcPr>
          <w:p>
            <w:pPr>
              <w:jc w:val="center"/>
            </w:pPr>
            <w:r>
              <w:rPr>
                <w:sz w:val="20"/>
              </w:rPr>
              <w:t>C04</w:t>
            </w:r>
          </w:p>
        </w:tc>
        <w:tc>
          <w:tcPr>
            <w:tcW w:type="dxa" w:w="1440"/>
          </w:tcPr>
          <w:p>
            <w:pPr>
              <w:jc w:val="center"/>
            </w:pPr>
            <w:r>
              <w:rPr>
                <w:sz w:val="20"/>
              </w:rPr>
              <w:t>City</w:t>
            </w:r>
          </w:p>
        </w:tc>
        <w:tc>
          <w:tcPr>
            <w:tcW w:type="dxa" w:w="1440"/>
          </w:tcPr>
          <w:p>
            <w:pPr>
              <w:jc w:val="center"/>
            </w:pPr>
            <w:r>
              <w:rPr>
                <w:sz w:val="20"/>
              </w:rPr>
              <w:t>7</w:t>
            </w:r>
          </w:p>
        </w:tc>
        <w:tc>
          <w:tcPr>
            <w:tcW w:type="dxa" w:w="1440"/>
          </w:tcPr>
          <w:p>
            <w:pPr>
              <w:jc w:val="center"/>
            </w:pPr>
            <w:r>
              <w:rPr>
                <w:sz w:val="20"/>
              </w:rPr>
              <w:t>4</w:t>
            </w:r>
          </w:p>
        </w:tc>
        <w:tc>
          <w:tcPr>
            <w:tcW w:type="dxa" w:w="1440"/>
          </w:tcPr>
          <w:p>
            <w:pPr>
              <w:jc w:val="center"/>
            </w:pPr>
            <w:r>
              <w:rPr>
                <w:sz w:val="20"/>
              </w:rPr>
              <w:t>−3</w:t>
            </w:r>
          </w:p>
        </w:tc>
        <w:tc>
          <w:tcPr>
            <w:tcW w:type="dxa" w:w="1440"/>
          </w:tcPr>
          <w:p>
            <w:pPr>
              <w:jc w:val="center"/>
            </w:pPr>
            <w:r>
              <w:rPr>
                <w:sz w:val="20"/>
              </w:rPr>
              <w:t>20 min → 35 min</w:t>
            </w:r>
          </w:p>
        </w:tc>
      </w:tr>
      <w:tr>
        <w:tc>
          <w:tcPr>
            <w:tcW w:type="dxa" w:w="1440"/>
          </w:tcPr>
          <w:p>
            <w:pPr>
              <w:jc w:val="center"/>
            </w:pPr>
            <w:r>
              <w:rPr>
                <w:sz w:val="20"/>
              </w:rPr>
              <w:t>F12</w:t>
            </w:r>
          </w:p>
        </w:tc>
        <w:tc>
          <w:tcPr>
            <w:tcW w:type="dxa" w:w="1440"/>
          </w:tcPr>
          <w:p>
            <w:pPr>
              <w:jc w:val="center"/>
            </w:pPr>
            <w:r>
              <w:rPr>
                <w:sz w:val="20"/>
              </w:rPr>
              <w:t>Feeder</w:t>
            </w:r>
          </w:p>
        </w:tc>
        <w:tc>
          <w:tcPr>
            <w:tcW w:type="dxa" w:w="1440"/>
          </w:tcPr>
          <w:p>
            <w:pPr>
              <w:jc w:val="center"/>
            </w:pPr>
            <w:r>
              <w:rPr>
                <w:sz w:val="20"/>
              </w:rPr>
              <w:t>7</w:t>
            </w:r>
          </w:p>
        </w:tc>
        <w:tc>
          <w:tcPr>
            <w:tcW w:type="dxa" w:w="1440"/>
          </w:tcPr>
          <w:p>
            <w:pPr>
              <w:jc w:val="center"/>
            </w:pPr>
            <w:r>
              <w:rPr>
                <w:sz w:val="20"/>
              </w:rPr>
              <w:t>4</w:t>
            </w:r>
          </w:p>
        </w:tc>
        <w:tc>
          <w:tcPr>
            <w:tcW w:type="dxa" w:w="1440"/>
          </w:tcPr>
          <w:p>
            <w:pPr>
              <w:jc w:val="center"/>
            </w:pPr>
            <w:r>
              <w:rPr>
                <w:sz w:val="20"/>
              </w:rPr>
              <w:t>−3</w:t>
            </w:r>
          </w:p>
        </w:tc>
        <w:tc>
          <w:tcPr>
            <w:tcW w:type="dxa" w:w="1440"/>
          </w:tcPr>
          <w:p>
            <w:pPr>
              <w:jc w:val="center"/>
            </w:pPr>
            <w:r>
              <w:rPr>
                <w:sz w:val="20"/>
              </w:rPr>
              <w:t>20 min → 33 min</w:t>
            </w:r>
          </w:p>
        </w:tc>
      </w:tr>
      <w:tr>
        <w:tc>
          <w:tcPr>
            <w:tcW w:type="dxa" w:w="1440"/>
          </w:tcPr>
          <w:p>
            <w:pPr>
              <w:jc w:val="center"/>
            </w:pPr>
            <w:r>
              <w:rPr>
                <w:sz w:val="20"/>
              </w:rPr>
              <w:t>X66</w:t>
            </w:r>
          </w:p>
        </w:tc>
        <w:tc>
          <w:tcPr>
            <w:tcW w:type="dxa" w:w="1440"/>
          </w:tcPr>
          <w:p>
            <w:pPr>
              <w:jc w:val="center"/>
            </w:pPr>
            <w:r>
              <w:rPr>
                <w:sz w:val="20"/>
              </w:rPr>
              <w:t>Express</w:t>
            </w:r>
          </w:p>
        </w:tc>
        <w:tc>
          <w:tcPr>
            <w:tcW w:type="dxa" w:w="1440"/>
          </w:tcPr>
          <w:p>
            <w:pPr>
              <w:jc w:val="center"/>
            </w:pPr>
            <w:r>
              <w:rPr>
                <w:sz w:val="20"/>
              </w:rPr>
              <w:t>8</w:t>
            </w:r>
          </w:p>
        </w:tc>
        <w:tc>
          <w:tcPr>
            <w:tcW w:type="dxa" w:w="1440"/>
          </w:tcPr>
          <w:p>
            <w:pPr>
              <w:jc w:val="center"/>
            </w:pPr>
            <w:r>
              <w:rPr>
                <w:sz w:val="20"/>
              </w:rPr>
              <w:t>6</w:t>
            </w:r>
          </w:p>
        </w:tc>
        <w:tc>
          <w:tcPr>
            <w:tcW w:type="dxa" w:w="1440"/>
          </w:tcPr>
          <w:p>
            <w:pPr>
              <w:jc w:val="center"/>
            </w:pPr>
            <w:r>
              <w:rPr>
                <w:sz w:val="20"/>
              </w:rPr>
              <w:t>−2</w:t>
            </w:r>
          </w:p>
        </w:tc>
        <w:tc>
          <w:tcPr>
            <w:tcW w:type="dxa" w:w="1440"/>
          </w:tcPr>
          <w:p>
            <w:pPr>
              <w:jc w:val="center"/>
            </w:pPr>
            <w:r>
              <w:rPr>
                <w:sz w:val="20"/>
              </w:rPr>
              <w:t>20 min → 24 min</w:t>
            </w:r>
          </w:p>
        </w:tc>
      </w:tr>
    </w:tbl>
    <w:p/>
    <w:p>
      <w:pPr>
        <w:pStyle w:val="Heading2"/>
      </w:pPr>
      <w:r>
        <w:t>Headway Modification</w:t>
      </w:r>
    </w:p>
    <w:p>
      <w:r>
        <w:t>Implement time-variable headways with three tiers based on day-of-week demand patterns: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Tier</w:t>
            </w:r>
          </w:p>
        </w:tc>
        <w:tc>
          <w:tcPr>
            <w:tcW w:type="dxa" w:w="1728"/>
          </w:tcPr>
          <w:p>
            <w:pPr>
              <w:jc w:val="center"/>
            </w:pPr>
            <w:r>
              <w:rPr>
                <w:b/>
                <w:sz w:val="20"/>
              </w:rPr>
              <w:t>Days</w:t>
            </w:r>
          </w:p>
        </w:tc>
        <w:tc>
          <w:tcPr>
            <w:tcW w:type="dxa" w:w="1728"/>
          </w:tcPr>
          <w:p>
            <w:pPr>
              <w:jc w:val="center"/>
            </w:pPr>
            <w:r>
              <w:rPr>
                <w:b/>
                <w:sz w:val="20"/>
              </w:rPr>
              <w:t>Demand Index</w:t>
            </w:r>
          </w:p>
        </w:tc>
        <w:tc>
          <w:tcPr>
            <w:tcW w:type="dxa" w:w="1728"/>
          </w:tcPr>
          <w:p>
            <w:pPr>
              <w:jc w:val="center"/>
            </w:pPr>
            <w:r>
              <w:rPr>
                <w:b/>
                <w:sz w:val="20"/>
              </w:rPr>
              <w:t>Headway Multiplier</w:t>
            </w:r>
          </w:p>
        </w:tc>
        <w:tc>
          <w:tcPr>
            <w:tcW w:type="dxa" w:w="1728"/>
          </w:tcPr>
          <w:p>
            <w:pPr>
              <w:jc w:val="center"/>
            </w:pPr>
            <w:r>
              <w:rPr>
                <w:b/>
                <w:sz w:val="20"/>
              </w:rPr>
              <w:t>Example: X28</w:t>
            </w:r>
          </w:p>
        </w:tc>
      </w:tr>
      <w:tr>
        <w:tc>
          <w:tcPr>
            <w:tcW w:type="dxa" w:w="1728"/>
          </w:tcPr>
          <w:p>
            <w:pPr>
              <w:jc w:val="center"/>
            </w:pPr>
            <w:r>
              <w:rPr>
                <w:sz w:val="20"/>
              </w:rPr>
              <w:t>Peak</w:t>
            </w:r>
          </w:p>
        </w:tc>
        <w:tc>
          <w:tcPr>
            <w:tcW w:type="dxa" w:w="1728"/>
          </w:tcPr>
          <w:p>
            <w:pPr>
              <w:jc w:val="center"/>
            </w:pPr>
            <w:r>
              <w:rPr>
                <w:sz w:val="20"/>
              </w:rPr>
              <w:t>Sun–Thu</w:t>
            </w:r>
          </w:p>
        </w:tc>
        <w:tc>
          <w:tcPr>
            <w:tcW w:type="dxa" w:w="1728"/>
          </w:tcPr>
          <w:p>
            <w:pPr>
              <w:jc w:val="center"/>
            </w:pPr>
            <w:r>
              <w:rPr>
                <w:sz w:val="20"/>
              </w:rPr>
              <w:t>1.05–1.10x</w:t>
            </w:r>
          </w:p>
        </w:tc>
        <w:tc>
          <w:tcPr>
            <w:tcW w:type="dxa" w:w="1728"/>
          </w:tcPr>
          <w:p>
            <w:pPr>
              <w:jc w:val="center"/>
            </w:pPr>
            <w:r>
              <w:rPr>
                <w:sz w:val="20"/>
              </w:rPr>
              <w:t>Base headway</w:t>
            </w:r>
          </w:p>
        </w:tc>
        <w:tc>
          <w:tcPr>
            <w:tcW w:type="dxa" w:w="1728"/>
          </w:tcPr>
          <w:p>
            <w:pPr>
              <w:jc w:val="center"/>
            </w:pPr>
            <w:r>
              <w:rPr>
                <w:sz w:val="20"/>
              </w:rPr>
              <w:t>11–12 min</w:t>
            </w:r>
          </w:p>
        </w:tc>
      </w:tr>
      <w:tr>
        <w:tc>
          <w:tcPr>
            <w:tcW w:type="dxa" w:w="1728"/>
          </w:tcPr>
          <w:p>
            <w:pPr>
              <w:jc w:val="center"/>
            </w:pPr>
            <w:r>
              <w:rPr>
                <w:sz w:val="20"/>
              </w:rPr>
              <w:t>Reduced</w:t>
            </w:r>
          </w:p>
        </w:tc>
        <w:tc>
          <w:tcPr>
            <w:tcW w:type="dxa" w:w="1728"/>
          </w:tcPr>
          <w:p>
            <w:pPr>
              <w:jc w:val="center"/>
            </w:pPr>
            <w:r>
              <w:rPr>
                <w:sz w:val="20"/>
              </w:rPr>
              <w:t>Friday</w:t>
            </w:r>
          </w:p>
        </w:tc>
        <w:tc>
          <w:tcPr>
            <w:tcW w:type="dxa" w:w="1728"/>
          </w:tcPr>
          <w:p>
            <w:pPr>
              <w:jc w:val="center"/>
            </w:pPr>
            <w:r>
              <w:rPr>
                <w:sz w:val="20"/>
              </w:rPr>
              <w:t>1.04–1.09x</w:t>
            </w:r>
          </w:p>
        </w:tc>
        <w:tc>
          <w:tcPr>
            <w:tcW w:type="dxa" w:w="1728"/>
          </w:tcPr>
          <w:p>
            <w:pPr>
              <w:jc w:val="center"/>
            </w:pPr>
            <w:r>
              <w:rPr>
                <w:sz w:val="20"/>
              </w:rPr>
              <w:t>1.1x base</w:t>
            </w:r>
          </w:p>
        </w:tc>
        <w:tc>
          <w:tcPr>
            <w:tcW w:type="dxa" w:w="1728"/>
          </w:tcPr>
          <w:p>
            <w:pPr>
              <w:jc w:val="center"/>
            </w:pPr>
            <w:r>
              <w:rPr>
                <w:sz w:val="20"/>
              </w:rPr>
              <w:t>13–14 min</w:t>
            </w:r>
          </w:p>
        </w:tc>
      </w:tr>
      <w:tr>
        <w:tc>
          <w:tcPr>
            <w:tcW w:type="dxa" w:w="1728"/>
          </w:tcPr>
          <w:p>
            <w:pPr>
              <w:jc w:val="center"/>
            </w:pPr>
            <w:r>
              <w:rPr>
                <w:sz w:val="20"/>
              </w:rPr>
              <w:t>Minimal</w:t>
            </w:r>
          </w:p>
        </w:tc>
        <w:tc>
          <w:tcPr>
            <w:tcW w:type="dxa" w:w="1728"/>
          </w:tcPr>
          <w:p>
            <w:pPr>
              <w:jc w:val="center"/>
            </w:pPr>
            <w:r>
              <w:rPr>
                <w:sz w:val="20"/>
              </w:rPr>
              <w:t>Saturday</w:t>
            </w:r>
          </w:p>
        </w:tc>
        <w:tc>
          <w:tcPr>
            <w:tcW w:type="dxa" w:w="1728"/>
          </w:tcPr>
          <w:p>
            <w:pPr>
              <w:jc w:val="center"/>
            </w:pPr>
            <w:r>
              <w:rPr>
                <w:sz w:val="20"/>
              </w:rPr>
              <w:t>0.82–0.88x</w:t>
            </w:r>
          </w:p>
        </w:tc>
        <w:tc>
          <w:tcPr>
            <w:tcW w:type="dxa" w:w="1728"/>
          </w:tcPr>
          <w:p>
            <w:pPr>
              <w:jc w:val="center"/>
            </w:pPr>
            <w:r>
              <w:rPr>
                <w:sz w:val="20"/>
              </w:rPr>
              <w:t>1.3x base</w:t>
            </w:r>
          </w:p>
        </w:tc>
        <w:tc>
          <w:tcPr>
            <w:tcW w:type="dxa" w:w="1728"/>
          </w:tcPr>
          <w:p>
            <w:pPr>
              <w:jc w:val="center"/>
            </w:pPr>
            <w:r>
              <w:rPr>
                <w:sz w:val="20"/>
              </w:rPr>
              <w:t>15–16 min</w:t>
            </w:r>
          </w:p>
        </w:tc>
      </w:tr>
    </w:tbl>
    <w:p/>
    <w:p>
      <w:r>
        <w:t>This achieves a ~7-8% effective capacity gain on peak weekdays without additional buses.</w:t>
      </w:r>
    </w:p>
    <w:p>
      <w:pPr>
        <w:pStyle w:val="Heading2"/>
      </w:pPr>
      <w:r>
        <w:t>Corridor Prioritization</w:t>
      </w:r>
    </w:p>
    <w:p>
      <w:r>
        <w:t>Based on the combined analysis of overload risk, congestion interaction, zone bottlenecks, and forecast growth, corridors should be prioritized for investment as follows: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Priority</w:t>
            </w:r>
          </w:p>
        </w:tc>
        <w:tc>
          <w:tcPr>
            <w:tcW w:type="dxa" w:w="1728"/>
          </w:tcPr>
          <w:p>
            <w:pPr>
              <w:jc w:val="center"/>
            </w:pPr>
            <w:r>
              <w:rPr>
                <w:b/>
                <w:sz w:val="20"/>
              </w:rPr>
              <w:t>Corridor</w:t>
            </w:r>
          </w:p>
        </w:tc>
        <w:tc>
          <w:tcPr>
            <w:tcW w:type="dxa" w:w="1728"/>
          </w:tcPr>
          <w:p>
            <w:pPr>
              <w:jc w:val="center"/>
            </w:pPr>
            <w:r>
              <w:rPr>
                <w:b/>
                <w:sz w:val="20"/>
              </w:rPr>
              <w:t>Action</w:t>
            </w:r>
          </w:p>
        </w:tc>
        <w:tc>
          <w:tcPr>
            <w:tcW w:type="dxa" w:w="1728"/>
          </w:tcPr>
          <w:p>
            <w:pPr>
              <w:jc w:val="center"/>
            </w:pPr>
            <w:r>
              <w:rPr>
                <w:b/>
                <w:sz w:val="20"/>
              </w:rPr>
              <w:t>Timeline</w:t>
            </w:r>
          </w:p>
        </w:tc>
        <w:tc>
          <w:tcPr>
            <w:tcW w:type="dxa" w:w="1728"/>
          </w:tcPr>
          <w:p>
            <w:pPr>
              <w:jc w:val="center"/>
            </w:pPr>
            <w:r>
              <w:rPr>
                <w:b/>
                <w:sz w:val="20"/>
              </w:rPr>
              <w:t>Impact</w:t>
            </w:r>
          </w:p>
        </w:tc>
      </w:tr>
      <w:tr>
        <w:tc>
          <w:tcPr>
            <w:tcW w:type="dxa" w:w="1728"/>
          </w:tcPr>
          <w:p>
            <w:pPr>
              <w:jc w:val="center"/>
            </w:pPr>
            <w:r>
              <w:rPr>
                <w:sz w:val="20"/>
              </w:rPr>
              <w:t>1 (Critical)</w:t>
            </w:r>
          </w:p>
        </w:tc>
        <w:tc>
          <w:tcPr>
            <w:tcW w:type="dxa" w:w="1728"/>
          </w:tcPr>
          <w:p>
            <w:pPr>
              <w:jc w:val="center"/>
            </w:pPr>
            <w:r>
              <w:rPr>
                <w:sz w:val="20"/>
              </w:rPr>
              <w:t>X28 Express</w:t>
            </w:r>
          </w:p>
        </w:tc>
        <w:tc>
          <w:tcPr>
            <w:tcW w:type="dxa" w:w="1728"/>
          </w:tcPr>
          <w:p>
            <w:pPr>
              <w:jc w:val="center"/>
            </w:pPr>
            <w:r>
              <w:rPr>
                <w:sz w:val="20"/>
              </w:rPr>
              <w:t>Add 3 buses + bus-priority lane study</w:t>
            </w:r>
          </w:p>
        </w:tc>
        <w:tc>
          <w:tcPr>
            <w:tcW w:type="dxa" w:w="1728"/>
          </w:tcPr>
          <w:p>
            <w:pPr>
              <w:jc w:val="center"/>
            </w:pPr>
            <w:r>
              <w:rPr>
                <w:sz w:val="20"/>
              </w:rPr>
              <w:t>Immediate</w:t>
            </w:r>
          </w:p>
        </w:tc>
        <w:tc>
          <w:tcPr>
            <w:tcW w:type="dxa" w:w="1728"/>
          </w:tcPr>
          <w:p>
            <w:pPr>
              <w:jc w:val="center"/>
            </w:pPr>
            <w:r>
              <w:rPr>
                <w:sz w:val="20"/>
              </w:rPr>
              <w:t>Headway: 20→12 min</w:t>
            </w:r>
          </w:p>
        </w:tc>
      </w:tr>
      <w:tr>
        <w:tc>
          <w:tcPr>
            <w:tcW w:type="dxa" w:w="1728"/>
          </w:tcPr>
          <w:p>
            <w:pPr>
              <w:jc w:val="center"/>
            </w:pPr>
            <w:r>
              <w:rPr>
                <w:sz w:val="20"/>
              </w:rPr>
              <w:t>2 (High)</w:t>
            </w:r>
          </w:p>
        </w:tc>
        <w:tc>
          <w:tcPr>
            <w:tcW w:type="dxa" w:w="1728"/>
          </w:tcPr>
          <w:p>
            <w:pPr>
              <w:jc w:val="center"/>
            </w:pPr>
            <w:r>
              <w:rPr>
                <w:sz w:val="20"/>
              </w:rPr>
              <w:t>Coastal Marina zone</w:t>
            </w:r>
          </w:p>
        </w:tc>
        <w:tc>
          <w:tcPr>
            <w:tcW w:type="dxa" w:w="1728"/>
          </w:tcPr>
          <w:p>
            <w:pPr>
              <w:jc w:val="center"/>
            </w:pPr>
            <w:r>
              <w:rPr>
                <w:sz w:val="20"/>
              </w:rPr>
              <w:t>Add 2-3 stops + deploy larger buses</w:t>
            </w:r>
          </w:p>
        </w:tc>
        <w:tc>
          <w:tcPr>
            <w:tcW w:type="dxa" w:w="1728"/>
          </w:tcPr>
          <w:p>
            <w:pPr>
              <w:jc w:val="center"/>
            </w:pPr>
            <w:r>
              <w:rPr>
                <w:sz w:val="20"/>
              </w:rPr>
              <w:t>30 days</w:t>
            </w:r>
          </w:p>
        </w:tc>
        <w:tc>
          <w:tcPr>
            <w:tcW w:type="dxa" w:w="1728"/>
          </w:tcPr>
          <w:p>
            <w:pPr>
              <w:jc w:val="center"/>
            </w:pPr>
            <w:r>
              <w:rPr>
                <w:sz w:val="20"/>
              </w:rPr>
              <w:t>Reduce per-stop load by 40%</w:t>
            </w:r>
          </w:p>
        </w:tc>
      </w:tr>
      <w:tr>
        <w:tc>
          <w:tcPr>
            <w:tcW w:type="dxa" w:w="1728"/>
          </w:tcPr>
          <w:p>
            <w:pPr>
              <w:jc w:val="center"/>
            </w:pPr>
            <w:r>
              <w:rPr>
                <w:sz w:val="20"/>
              </w:rPr>
              <w:t>3 (High)</w:t>
            </w:r>
          </w:p>
        </w:tc>
        <w:tc>
          <w:tcPr>
            <w:tcW w:type="dxa" w:w="1728"/>
          </w:tcPr>
          <w:p>
            <w:pPr>
              <w:jc w:val="center"/>
            </w:pPr>
            <w:r>
              <w:rPr>
                <w:sz w:val="20"/>
              </w:rPr>
              <w:t>X11, X66 Express</w:t>
            </w:r>
          </w:p>
        </w:tc>
        <w:tc>
          <w:tcPr>
            <w:tcW w:type="dxa" w:w="1728"/>
          </w:tcPr>
          <w:p>
            <w:pPr>
              <w:jc w:val="center"/>
            </w:pPr>
            <w:r>
              <w:rPr>
                <w:sz w:val="20"/>
              </w:rPr>
              <w:t>Headway optimization + contingency bus</w:t>
            </w:r>
          </w:p>
        </w:tc>
        <w:tc>
          <w:tcPr>
            <w:tcW w:type="dxa" w:w="1728"/>
          </w:tcPr>
          <w:p>
            <w:pPr>
              <w:jc w:val="center"/>
            </w:pPr>
            <w:r>
              <w:rPr>
                <w:sz w:val="20"/>
              </w:rPr>
              <w:t>30 days</w:t>
            </w:r>
          </w:p>
        </w:tc>
        <w:tc>
          <w:tcPr>
            <w:tcW w:type="dxa" w:w="1728"/>
          </w:tcPr>
          <w:p>
            <w:pPr>
              <w:jc w:val="center"/>
            </w:pPr>
            <w:r>
              <w:rPr>
                <w:sz w:val="20"/>
              </w:rPr>
              <w:t>Better peak coverage</w:t>
            </w:r>
          </w:p>
        </w:tc>
      </w:tr>
      <w:tr>
        <w:tc>
          <w:tcPr>
            <w:tcW w:type="dxa" w:w="1728"/>
          </w:tcPr>
          <w:p>
            <w:pPr>
              <w:jc w:val="center"/>
            </w:pPr>
            <w:r>
              <w:rPr>
                <w:sz w:val="20"/>
              </w:rPr>
              <w:t>4 (Medium)</w:t>
            </w:r>
          </w:p>
        </w:tc>
        <w:tc>
          <w:tcPr>
            <w:tcW w:type="dxa" w:w="1728"/>
          </w:tcPr>
          <w:p>
            <w:pPr>
              <w:jc w:val="center"/>
            </w:pPr>
            <w:r>
              <w:rPr>
                <w:sz w:val="20"/>
              </w:rPr>
              <w:t>C03, C02 City</w:t>
            </w:r>
          </w:p>
        </w:tc>
        <w:tc>
          <w:tcPr>
            <w:tcW w:type="dxa" w:w="1728"/>
          </w:tcPr>
          <w:p>
            <w:pPr>
              <w:jc w:val="center"/>
            </w:pPr>
            <w:r>
              <w:rPr>
                <w:sz w:val="20"/>
              </w:rPr>
              <w:t>Reallocate 2 buses each from donors</w:t>
            </w:r>
          </w:p>
        </w:tc>
        <w:tc>
          <w:tcPr>
            <w:tcW w:type="dxa" w:w="1728"/>
          </w:tcPr>
          <w:p>
            <w:pPr>
              <w:jc w:val="center"/>
            </w:pPr>
            <w:r>
              <w:rPr>
                <w:sz w:val="20"/>
              </w:rPr>
              <w:t>Immediate</w:t>
            </w:r>
          </w:p>
        </w:tc>
        <w:tc>
          <w:tcPr>
            <w:tcW w:type="dxa" w:w="1728"/>
          </w:tcPr>
          <w:p>
            <w:pPr>
              <w:jc w:val="center"/>
            </w:pPr>
            <w:r>
              <w:rPr>
                <w:sz w:val="20"/>
              </w:rPr>
              <w:t>Headway: 15→11 min</w:t>
            </w:r>
          </w:p>
        </w:tc>
      </w:tr>
      <w:tr>
        <w:tc>
          <w:tcPr>
            <w:tcW w:type="dxa" w:w="1728"/>
          </w:tcPr>
          <w:p>
            <w:pPr>
              <w:jc w:val="center"/>
            </w:pPr>
            <w:r>
              <w:rPr>
                <w:sz w:val="20"/>
              </w:rPr>
              <w:t>5 (Monitor)</w:t>
            </w:r>
          </w:p>
        </w:tc>
        <w:tc>
          <w:tcPr>
            <w:tcW w:type="dxa" w:w="1728"/>
          </w:tcPr>
          <w:p>
            <w:pPr>
              <w:jc w:val="center"/>
            </w:pPr>
            <w:r>
              <w:rPr>
                <w:sz w:val="20"/>
              </w:rPr>
              <w:t>F12, C04 donors</w:t>
            </w:r>
          </w:p>
        </w:tc>
        <w:tc>
          <w:tcPr>
            <w:tcW w:type="dxa" w:w="1728"/>
          </w:tcPr>
          <w:p>
            <w:pPr>
              <w:jc w:val="center"/>
            </w:pPr>
            <w:r>
              <w:rPr>
                <w:sz w:val="20"/>
              </w:rPr>
              <w:t>Extend headways, monitor ridership</w:t>
            </w:r>
          </w:p>
        </w:tc>
        <w:tc>
          <w:tcPr>
            <w:tcW w:type="dxa" w:w="1728"/>
          </w:tcPr>
          <w:p>
            <w:pPr>
              <w:jc w:val="center"/>
            </w:pPr>
            <w:r>
              <w:rPr>
                <w:sz w:val="20"/>
              </w:rPr>
              <w:t>Ongoing</w:t>
            </w:r>
          </w:p>
        </w:tc>
        <w:tc>
          <w:tcPr>
            <w:tcW w:type="dxa" w:w="1728"/>
          </w:tcPr>
          <w:p>
            <w:pPr>
              <w:jc w:val="center"/>
            </w:pPr>
            <w:r>
              <w:rPr>
                <w:sz w:val="20"/>
              </w:rPr>
              <w:t>Capacity freed for priority corridors</w:t>
            </w:r>
          </w:p>
        </w:tc>
      </w:tr>
    </w:tbl>
    <w:p/>
    <w:p>
      <w:pPr>
        <w:pStyle w:val="Heading2"/>
      </w:pPr>
      <w:r>
        <w:t>Seasonal Fleet Rotation</w:t>
      </w:r>
    </w:p>
    <w:p>
      <w:r>
        <w:t>Deploy a seasonal fleet rotation strategy to match the 31% demand swing between winter and summer:</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Season</w:t>
            </w:r>
          </w:p>
        </w:tc>
        <w:tc>
          <w:tcPr>
            <w:tcW w:type="dxa" w:w="2160"/>
          </w:tcPr>
          <w:p>
            <w:pPr>
              <w:jc w:val="center"/>
            </w:pPr>
            <w:r>
              <w:rPr>
                <w:b/>
                <w:sz w:val="20"/>
              </w:rPr>
              <w:t>Months</w:t>
            </w:r>
          </w:p>
        </w:tc>
        <w:tc>
          <w:tcPr>
            <w:tcW w:type="dxa" w:w="2160"/>
          </w:tcPr>
          <w:p>
            <w:pPr>
              <w:jc w:val="center"/>
            </w:pPr>
            <w:r>
              <w:rPr>
                <w:b/>
                <w:sz w:val="20"/>
              </w:rPr>
              <w:t>Fleet Multiplier</w:t>
            </w:r>
          </w:p>
        </w:tc>
        <w:tc>
          <w:tcPr>
            <w:tcW w:type="dxa" w:w="2160"/>
          </w:tcPr>
          <w:p>
            <w:pPr>
              <w:jc w:val="center"/>
            </w:pPr>
            <w:r>
              <w:rPr>
                <w:b/>
                <w:sz w:val="20"/>
              </w:rPr>
              <w:t>Action</w:t>
            </w:r>
          </w:p>
        </w:tc>
      </w:tr>
      <w:tr>
        <w:tc>
          <w:tcPr>
            <w:tcW w:type="dxa" w:w="2160"/>
          </w:tcPr>
          <w:p>
            <w:pPr>
              <w:jc w:val="center"/>
            </w:pPr>
            <w:r>
              <w:rPr>
                <w:sz w:val="20"/>
              </w:rPr>
              <w:t>Winter Peak</w:t>
            </w:r>
          </w:p>
        </w:tc>
        <w:tc>
          <w:tcPr>
            <w:tcW w:type="dxa" w:w="2160"/>
          </w:tcPr>
          <w:p>
            <w:pPr>
              <w:jc w:val="center"/>
            </w:pPr>
            <w:r>
              <w:rPr>
                <w:sz w:val="20"/>
              </w:rPr>
              <w:t>Nov–Mar</w:t>
            </w:r>
          </w:p>
        </w:tc>
        <w:tc>
          <w:tcPr>
            <w:tcW w:type="dxa" w:w="2160"/>
          </w:tcPr>
          <w:p>
            <w:pPr>
              <w:jc w:val="center"/>
            </w:pPr>
            <w:r>
              <w:rPr>
                <w:sz w:val="20"/>
              </w:rPr>
              <w:t>1.12x baseline</w:t>
            </w:r>
          </w:p>
        </w:tc>
        <w:tc>
          <w:tcPr>
            <w:tcW w:type="dxa" w:w="2160"/>
          </w:tcPr>
          <w:p>
            <w:pPr>
              <w:jc w:val="center"/>
            </w:pPr>
            <w:r>
              <w:rPr>
                <w:sz w:val="20"/>
              </w:rPr>
              <w:t>Full fleet + 10-15% surge capacity</w:t>
            </w:r>
          </w:p>
        </w:tc>
      </w:tr>
      <w:tr>
        <w:tc>
          <w:tcPr>
            <w:tcW w:type="dxa" w:w="2160"/>
          </w:tcPr>
          <w:p>
            <w:pPr>
              <w:jc w:val="center"/>
            </w:pPr>
            <w:r>
              <w:rPr>
                <w:sz w:val="20"/>
              </w:rPr>
              <w:t>Shoulder</w:t>
            </w:r>
          </w:p>
        </w:tc>
        <w:tc>
          <w:tcPr>
            <w:tcW w:type="dxa" w:w="2160"/>
          </w:tcPr>
          <w:p>
            <w:pPr>
              <w:jc w:val="center"/>
            </w:pPr>
            <w:r>
              <w:rPr>
                <w:sz w:val="20"/>
              </w:rPr>
              <w:t>Apr–May, Sep–Oct</w:t>
            </w:r>
          </w:p>
        </w:tc>
        <w:tc>
          <w:tcPr>
            <w:tcW w:type="dxa" w:w="2160"/>
          </w:tcPr>
          <w:p>
            <w:pPr>
              <w:jc w:val="center"/>
            </w:pPr>
            <w:r>
              <w:rPr>
                <w:sz w:val="20"/>
              </w:rPr>
              <w:t>1.00x baseline</w:t>
            </w:r>
          </w:p>
        </w:tc>
        <w:tc>
          <w:tcPr>
            <w:tcW w:type="dxa" w:w="2160"/>
          </w:tcPr>
          <w:p>
            <w:pPr>
              <w:jc w:val="center"/>
            </w:pPr>
            <w:r>
              <w:rPr>
                <w:sz w:val="20"/>
              </w:rPr>
              <w:t>Standard operations</w:t>
            </w:r>
          </w:p>
        </w:tc>
      </w:tr>
      <w:tr>
        <w:tc>
          <w:tcPr>
            <w:tcW w:type="dxa" w:w="2160"/>
          </w:tcPr>
          <w:p>
            <w:pPr>
              <w:jc w:val="center"/>
            </w:pPr>
            <w:r>
              <w:rPr>
                <w:sz w:val="20"/>
              </w:rPr>
              <w:t>Summer Moderate</w:t>
            </w:r>
          </w:p>
        </w:tc>
        <w:tc>
          <w:tcPr>
            <w:tcW w:type="dxa" w:w="2160"/>
          </w:tcPr>
          <w:p>
            <w:pPr>
              <w:jc w:val="center"/>
            </w:pPr>
            <w:r>
              <w:rPr>
                <w:sz w:val="20"/>
              </w:rPr>
              <w:t>Jun–Aug</w:t>
            </w:r>
          </w:p>
        </w:tc>
        <w:tc>
          <w:tcPr>
            <w:tcW w:type="dxa" w:w="2160"/>
          </w:tcPr>
          <w:p>
            <w:pPr>
              <w:jc w:val="center"/>
            </w:pPr>
            <w:r>
              <w:rPr>
                <w:sz w:val="20"/>
              </w:rPr>
              <w:t>0.88x baseline</w:t>
            </w:r>
          </w:p>
        </w:tc>
        <w:tc>
          <w:tcPr>
            <w:tcW w:type="dxa" w:w="2160"/>
          </w:tcPr>
          <w:p>
            <w:pPr>
              <w:jc w:val="center"/>
            </w:pPr>
            <w:r>
              <w:rPr>
                <w:sz w:val="20"/>
              </w:rPr>
              <w:t>Redeploy 10-15% to maintenance</w:t>
            </w:r>
          </w:p>
        </w:tc>
      </w:tr>
    </w:tbl>
    <w:p/>
    <w:p>
      <w:r>
        <w:t>This 22-25% capacity swing between winter and summer optimizes asset utilization while maintaining service quality year-round.</w:t>
      </w:r>
    </w:p>
    <w:p>
      <w:r>
        <w:br w:type="page"/>
      </w:r>
    </w:p>
    <w:p>
      <w:pPr>
        <w:pStyle w:val="Heading1"/>
      </w:pPr>
      <w:r>
        <w:t>Appendix: Technical Methodology</w:t>
      </w:r>
    </w:p>
    <w:p>
      <w:pPr>
        <w:pBdr>
          <w:bottom w:val="single" w:sz="6" w:space="1" w:color="0D47A1"/>
        </w:pBdr>
      </w:pPr>
    </w:p>
    <w:p>
      <w:pPr>
        <w:pStyle w:val="Heading2"/>
      </w:pPr>
      <w:r>
        <w:t>Data Sources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Dataset</w:t>
            </w:r>
          </w:p>
        </w:tc>
        <w:tc>
          <w:tcPr>
            <w:tcW w:type="dxa" w:w="2880"/>
          </w:tcPr>
          <w:p>
            <w:pPr>
              <w:jc w:val="center"/>
            </w:pPr>
            <w:r>
              <w:rPr>
                <w:b/>
                <w:sz w:val="20"/>
              </w:rPr>
              <w:t>Records</w:t>
            </w:r>
          </w:p>
        </w:tc>
        <w:tc>
          <w:tcPr>
            <w:tcW w:type="dxa" w:w="2880"/>
          </w:tcPr>
          <w:p>
            <w:pPr>
              <w:jc w:val="center"/>
            </w:pPr>
            <w:r>
              <w:rPr>
                <w:b/>
                <w:sz w:val="20"/>
              </w:rPr>
              <w:t>Key Fields</w:t>
            </w:r>
          </w:p>
        </w:tc>
      </w:tr>
      <w:tr>
        <w:tc>
          <w:tcPr>
            <w:tcW w:type="dxa" w:w="2880"/>
          </w:tcPr>
          <w:p>
            <w:pPr>
              <w:jc w:val="center"/>
            </w:pPr>
            <w:r>
              <w:rPr>
                <w:sz w:val="20"/>
              </w:rPr>
              <w:t>Bus_Routes.csv</w:t>
            </w:r>
          </w:p>
        </w:tc>
        <w:tc>
          <w:tcPr>
            <w:tcW w:type="dxa" w:w="2880"/>
          </w:tcPr>
          <w:p>
            <w:pPr>
              <w:jc w:val="center"/>
            </w:pPr>
            <w:r>
              <w:rPr>
                <w:sz w:val="20"/>
              </w:rPr>
              <w:t>12 routes</w:t>
            </w:r>
          </w:p>
        </w:tc>
        <w:tc>
          <w:tcPr>
            <w:tcW w:type="dxa" w:w="2880"/>
          </w:tcPr>
          <w:p>
            <w:pPr>
              <w:jc w:val="center"/>
            </w:pPr>
            <w:r>
              <w:rPr>
                <w:sz w:val="20"/>
              </w:rPr>
              <w:t>Route type, length, travel time, zone</w:t>
            </w:r>
          </w:p>
        </w:tc>
      </w:tr>
      <w:tr>
        <w:tc>
          <w:tcPr>
            <w:tcW w:type="dxa" w:w="2880"/>
          </w:tcPr>
          <w:p>
            <w:pPr>
              <w:jc w:val="center"/>
            </w:pPr>
            <w:r>
              <w:rPr>
                <w:sz w:val="20"/>
              </w:rPr>
              <w:t>Bus_Stops.csv</w:t>
            </w:r>
          </w:p>
        </w:tc>
        <w:tc>
          <w:tcPr>
            <w:tcW w:type="dxa" w:w="2880"/>
          </w:tcPr>
          <w:p>
            <w:pPr>
              <w:jc w:val="center"/>
            </w:pPr>
            <w:r>
              <w:rPr>
                <w:sz w:val="20"/>
              </w:rPr>
              <w:t>56 stops</w:t>
            </w:r>
          </w:p>
        </w:tc>
        <w:tc>
          <w:tcPr>
            <w:tcW w:type="dxa" w:w="2880"/>
          </w:tcPr>
          <w:p>
            <w:pPr>
              <w:jc w:val="center"/>
            </w:pPr>
            <w:r>
              <w:rPr>
                <w:sz w:val="20"/>
              </w:rPr>
              <w:t>Stop type, coordinates, zone</w:t>
            </w:r>
          </w:p>
        </w:tc>
      </w:tr>
      <w:tr>
        <w:tc>
          <w:tcPr>
            <w:tcW w:type="dxa" w:w="2880"/>
          </w:tcPr>
          <w:p>
            <w:pPr>
              <w:jc w:val="center"/>
            </w:pPr>
            <w:r>
              <w:rPr>
                <w:sz w:val="20"/>
              </w:rPr>
              <w:t>Route_Stop_Mapping.csv</w:t>
            </w:r>
          </w:p>
        </w:tc>
        <w:tc>
          <w:tcPr>
            <w:tcW w:type="dxa" w:w="2880"/>
          </w:tcPr>
          <w:p>
            <w:pPr>
              <w:jc w:val="center"/>
            </w:pPr>
            <w:r>
              <w:rPr>
                <w:sz w:val="20"/>
              </w:rPr>
              <w:t>56 mappings</w:t>
            </w:r>
          </w:p>
        </w:tc>
        <w:tc>
          <w:tcPr>
            <w:tcW w:type="dxa" w:w="2880"/>
          </w:tcPr>
          <w:p>
            <w:pPr>
              <w:jc w:val="center"/>
            </w:pPr>
            <w:r>
              <w:rPr>
                <w:sz w:val="20"/>
              </w:rPr>
              <w:t>Stop sequence, dwell time</w:t>
            </w:r>
          </w:p>
        </w:tc>
      </w:tr>
      <w:tr>
        <w:tc>
          <w:tcPr>
            <w:tcW w:type="dxa" w:w="2880"/>
          </w:tcPr>
          <w:p>
            <w:pPr>
              <w:jc w:val="center"/>
            </w:pPr>
            <w:r>
              <w:rPr>
                <w:sz w:val="20"/>
              </w:rPr>
              <w:t>Train_Ridership.csv</w:t>
            </w:r>
          </w:p>
        </w:tc>
        <w:tc>
          <w:tcPr>
            <w:tcW w:type="dxa" w:w="2880"/>
          </w:tcPr>
          <w:p>
            <w:pPr>
              <w:jc w:val="center"/>
            </w:pPr>
            <w:r>
              <w:rPr>
                <w:sz w:val="20"/>
              </w:rPr>
              <w:t>195,381 rows</w:t>
            </w:r>
          </w:p>
        </w:tc>
        <w:tc>
          <w:tcPr>
            <w:tcW w:type="dxa" w:w="2880"/>
          </w:tcPr>
          <w:p>
            <w:pPr>
              <w:jc w:val="center"/>
            </w:pPr>
            <w:r>
              <w:rPr>
                <w:sz w:val="20"/>
              </w:rPr>
              <w:t>Daily boarding/alighting by route-stop</w:t>
            </w:r>
          </w:p>
        </w:tc>
      </w:tr>
      <w:tr>
        <w:tc>
          <w:tcPr>
            <w:tcW w:type="dxa" w:w="2880"/>
          </w:tcPr>
          <w:p>
            <w:pPr>
              <w:jc w:val="center"/>
            </w:pPr>
            <w:r>
              <w:rPr>
                <w:sz w:val="20"/>
              </w:rPr>
              <w:t>Train_Traffic.csv</w:t>
            </w:r>
          </w:p>
        </w:tc>
        <w:tc>
          <w:tcPr>
            <w:tcW w:type="dxa" w:w="2880"/>
          </w:tcPr>
          <w:p>
            <w:pPr>
              <w:jc w:val="center"/>
            </w:pPr>
            <w:r>
              <w:rPr>
                <w:sz w:val="20"/>
              </w:rPr>
              <w:t>1,277 rows</w:t>
            </w:r>
          </w:p>
        </w:tc>
        <w:tc>
          <w:tcPr>
            <w:tcW w:type="dxa" w:w="2880"/>
          </w:tcPr>
          <w:p>
            <w:pPr>
              <w:jc w:val="center"/>
            </w:pPr>
            <w:r>
              <w:rPr>
                <w:sz w:val="20"/>
              </w:rPr>
              <w:t>Daily congestion, speed, incidents</w:t>
            </w:r>
          </w:p>
        </w:tc>
      </w:tr>
    </w:tbl>
    <w:p/>
    <w:p>
      <w:pPr>
        <w:pStyle w:val="Heading2"/>
      </w:pPr>
      <w:r>
        <w:t>Data Pipeline</w:t>
      </w:r>
    </w:p>
    <w:p>
      <w:r>
        <w:t>All five datasets were merged into a single master analytical dataset (195,381 rows × 27 columns) using route and stop identifiers as join keys. The merge achieved zero data loss and zero null values. Feature engineering added: Total_Pax (Boarding + Alighting), Year, Month, DayOfWeek, IsWeekend, Season, and YearMonth.</w:t>
      </w:r>
    </w:p>
    <w:p>
      <w:pPr>
        <w:pStyle w:val="Heading2"/>
      </w:pPr>
      <w:r>
        <w:t>Forecasting Model</w:t>
      </w:r>
    </w:p>
    <w:p>
      <w:r>
        <w:t>Component decomposition approach: Base demand × Growth trend × Seasonal multiplier × Day-of-week effect × Congestion elasticity. Each component is estimated independently from the 3.5-year historical dataset, then combined multiplicatively for each route-day prediction. The model produces 2,208 route-day forecasts (12 routes × 184 days) for the H2 2025 period.</w:t>
      </w:r>
    </w:p>
    <w:p>
      <w:pPr>
        <w:pStyle w:val="Heading2"/>
      </w:pPr>
      <w:r>
        <w:t>Analytical Scripts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Script</w:t>
            </w:r>
          </w:p>
        </w:tc>
        <w:tc>
          <w:tcPr>
            <w:tcW w:type="dxa" w:w="4320"/>
          </w:tcPr>
          <w:p>
            <w:pPr>
              <w:jc w:val="center"/>
            </w:pPr>
            <w:r>
              <w:rPr>
                <w:b/>
                <w:sz w:val="20"/>
              </w:rPr>
              <w:t>Purpose</w:t>
            </w:r>
          </w:p>
        </w:tc>
      </w:tr>
      <w:tr>
        <w:tc>
          <w:tcPr>
            <w:tcW w:type="dxa" w:w="4320"/>
          </w:tcPr>
          <w:p>
            <w:pPr>
              <w:jc w:val="center"/>
            </w:pPr>
            <w:r>
              <w:rPr>
                <w:sz w:val="20"/>
              </w:rPr>
              <w:t>stage1_pipeline.py</w:t>
            </w:r>
          </w:p>
        </w:tc>
        <w:tc>
          <w:tcPr>
            <w:tcW w:type="dxa" w:w="4320"/>
          </w:tcPr>
          <w:p>
            <w:pPr>
              <w:jc w:val="center"/>
            </w:pPr>
            <w:r>
              <w:rPr>
                <w:sz w:val="20"/>
              </w:rPr>
              <w:t>Data loading, merging, feature engineering, diagnostics</w:t>
            </w:r>
          </w:p>
        </w:tc>
      </w:tr>
      <w:tr>
        <w:tc>
          <w:tcPr>
            <w:tcW w:type="dxa" w:w="4320"/>
          </w:tcPr>
          <w:p>
            <w:pPr>
              <w:jc w:val="center"/>
            </w:pPr>
            <w:r>
              <w:rPr>
                <w:sz w:val="20"/>
              </w:rPr>
              <w:t>stage1_forecast.py</w:t>
            </w:r>
          </w:p>
        </w:tc>
        <w:tc>
          <w:tcPr>
            <w:tcW w:type="dxa" w:w="4320"/>
          </w:tcPr>
          <w:p>
            <w:pPr>
              <w:jc w:val="center"/>
            </w:pPr>
            <w:r>
              <w:rPr>
                <w:sz w:val="20"/>
              </w:rPr>
              <w:t>Component decomposition demand forecast</w:t>
            </w:r>
          </w:p>
        </w:tc>
      </w:tr>
      <w:tr>
        <w:tc>
          <w:tcPr>
            <w:tcW w:type="dxa" w:w="4320"/>
          </w:tcPr>
          <w:p>
            <w:pPr>
              <w:jc w:val="center"/>
            </w:pPr>
            <w:r>
              <w:rPr>
                <w:sz w:val="20"/>
              </w:rPr>
              <w:t>stage1_corridor_analysis.py</w:t>
            </w:r>
          </w:p>
        </w:tc>
        <w:tc>
          <w:tcPr>
            <w:tcW w:type="dxa" w:w="4320"/>
          </w:tcPr>
          <w:p>
            <w:pPr>
              <w:jc w:val="center"/>
            </w:pPr>
            <w:r>
              <w:rPr>
                <w:sz w:val="20"/>
              </w:rPr>
              <w:t>Corridor overload/waste scoring, bottleneck detection</w:t>
            </w:r>
          </w:p>
        </w:tc>
      </w:tr>
      <w:tr>
        <w:tc>
          <w:tcPr>
            <w:tcW w:type="dxa" w:w="4320"/>
          </w:tcPr>
          <w:p>
            <w:pPr>
              <w:jc w:val="center"/>
            </w:pPr>
            <w:r>
              <w:rPr>
                <w:sz w:val="20"/>
              </w:rPr>
              <w:t>stage1_fleet_reallocation.py</w:t>
            </w:r>
          </w:p>
        </w:tc>
        <w:tc>
          <w:tcPr>
            <w:tcW w:type="dxa" w:w="4320"/>
          </w:tcPr>
          <w:p>
            <w:pPr>
              <w:jc w:val="center"/>
            </w:pPr>
            <w:r>
              <w:rPr>
                <w:sz w:val="20"/>
              </w:rPr>
              <w:t>Fleet optimization and headway proposals</w:t>
            </w:r>
          </w:p>
        </w:tc>
      </w:tr>
      <w:tr>
        <w:tc>
          <w:tcPr>
            <w:tcW w:type="dxa" w:w="4320"/>
          </w:tcPr>
          <w:p>
            <w:pPr>
              <w:jc w:val="center"/>
            </w:pPr>
            <w:r>
              <w:rPr>
                <w:sz w:val="20"/>
              </w:rPr>
              <w:t>stage1_visualizations.py</w:t>
            </w:r>
          </w:p>
        </w:tc>
        <w:tc>
          <w:tcPr>
            <w:tcW w:type="dxa" w:w="4320"/>
          </w:tcPr>
          <w:p>
            <w:pPr>
              <w:jc w:val="center"/>
            </w:pPr>
            <w:r>
              <w:rPr>
                <w:sz w:val="20"/>
              </w:rPr>
              <w:t>14 publication-quality analytical charts</w:t>
            </w:r>
          </w:p>
        </w:tc>
      </w:tr>
      <w:tr>
        <w:tc>
          <w:tcPr>
            <w:tcW w:type="dxa" w:w="4320"/>
          </w:tcPr>
          <w:p>
            <w:pPr>
              <w:jc w:val="center"/>
            </w:pPr>
            <w:r>
              <w:rPr>
                <w:sz w:val="20"/>
              </w:rPr>
              <w:t>growth_decomposition.py</w:t>
            </w:r>
          </w:p>
        </w:tc>
        <w:tc>
          <w:tcPr>
            <w:tcW w:type="dxa" w:w="4320"/>
          </w:tcPr>
          <w:p>
            <w:pPr>
              <w:jc w:val="center"/>
            </w:pPr>
            <w:r>
              <w:rPr>
                <w:sz w:val="20"/>
              </w:rPr>
              <w:t>Growth decomposition stacked bar charts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