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pPr>
      <w:r>
        <w:rPr>
          <w:b/>
          <w:color w:val="087E80"/>
          <w:sz w:val="18"/>
        </w:rPr>
        <w:t>FINAL YEAR PROJECT  /  EVALUATOR WALKTHROUGH</w:t>
      </w:r>
    </w:p>
    <w:p>
      <w:pPr>
        <w:pStyle w:val="Title"/>
      </w:pPr>
      <w:r>
        <w:t>ZeroShield AI Dashboard Presentation Guide</w:t>
      </w:r>
    </w:p>
    <w:p>
      <w:pPr>
        <w:spacing w:after="360"/>
      </w:pPr>
      <w:r>
        <w:rPr>
          <w:color w:val="5F7080"/>
          <w:sz w:val="28"/>
        </w:rPr>
        <w:t>A practical guide for presenting the live network-flow analysis dashboard</w:t>
      </w:r>
    </w:p>
    <w:tbl>
      <w:tblPr>
        <w:tblW w:type="auto" w:w="0"/>
        <w:jc w:val="center"/>
        <w:tblLook w:firstColumn="1" w:firstRow="1" w:lastColumn="0" w:lastRow="0" w:noHBand="0" w:noVBand="1" w:val="04A0"/>
      </w:tblPr>
      <w:tblGrid>
        <w:gridCol w:w="10080"/>
      </w:tblGrid>
      <w:tr>
        <w:tc>
          <w:tcPr>
            <w:tcW w:type="dxa" w:w="10080"/>
            <w:shd w:fill="EAF4F4"/>
            <w:tcMar>
              <w:top w:w="140" w:type="dxa"/>
              <w:start w:w="190" w:type="dxa"/>
              <w:bottom w:w="140" w:type="dxa"/>
              <w:end w:w="190" w:type="dxa"/>
            </w:tcMar>
          </w:tcPr>
          <w:p>
            <w:pPr>
              <w:spacing w:after="60"/>
            </w:pPr>
            <w:r>
              <w:rPr>
                <w:b/>
                <w:color w:val="087E80"/>
                <w:sz w:val="16"/>
              </w:rPr>
              <w:t>WHAT THIS GUIDE HELPS YOU EXPLAIN</w:t>
            </w:r>
          </w:p>
          <w:p>
            <w:pPr>
              <w:spacing w:after="0" w:line="259" w:lineRule="auto"/>
            </w:pPr>
            <w:r>
              <w:rPr>
                <w:color w:val="1C2A38"/>
                <w:sz w:val="20"/>
              </w:rPr>
              <w:t>How the dashboard uses the existing benign-only Deep SVDD detector, explains its score, adds qualified ATT&amp;CK context, and produces a clearly labeled analyst report.</w:t>
            </w:r>
          </w:p>
        </w:tc>
      </w:tr>
    </w:tbl>
    <w:p>
      <w:pPr>
        <w:spacing w:after="0"/>
      </w:pPr>
    </w:p>
    <w:p>
      <w:pPr>
        <w:pStyle w:val="Heading1"/>
      </w:pPr>
      <w:r>
        <w:t>The one minute explanation</w:t>
      </w:r>
    </w:p>
    <w:p>
      <w:r>
        <w:rPr>
          <w:i w:val="0"/>
        </w:rPr>
        <w:t>“ZeroShield AI analyses engineered network-flow features with a Deep SVDD model trained on benign traffic. It calculates an anomaly score and compares that score with a frozen threshold. Feature perturbation explains which inputs influenced the score. The MITRE ATT&amp;CK layer adds qualified context from the project mapping, and the optional language model summarizes only the supplied evidence. The language model does not make the detection.”</w:t>
      </w:r>
    </w:p>
    <w:p>
      <w:pPr>
        <w:pStyle w:val="Heading2"/>
      </w:pPr>
      <w:r>
        <w:t>Three points to keep clear</w:t>
      </w:r>
    </w:p>
    <w:tbl>
      <w:tblPr>
        <w:tblW w:type="auto" w:w="0"/>
        <w:jc w:val="center"/>
        <w:tblLayout w:type="fixed"/>
        <w:tblLook w:firstColumn="1" w:firstRow="1" w:lastColumn="0" w:lastRow="0" w:noHBand="0" w:noVBand="1" w:val="04A0"/>
      </w:tblPr>
      <w:tblGrid>
        <w:gridCol w:w="2088"/>
        <w:gridCol w:w="2088"/>
        <w:gridCol w:w="6120"/>
      </w:tblGrid>
      <w:tr>
        <w:trPr>
          <w:tblHeader w:val="true"/>
        </w:trPr>
        <w:tc>
          <w:tcPr>
            <w:tcW w:type="dxa" w:w="3360"/>
            <w:shd w:fill="12253A"/>
            <w:tcMar>
              <w:top w:w="100" w:type="dxa"/>
              <w:start w:w="120" w:type="dxa"/>
              <w:bottom w:w="100" w:type="dxa"/>
              <w:end w:w="120" w:type="dxa"/>
            </w:tcMar>
            <w:vAlign w:val="center"/>
          </w:tcPr>
          <w:p>
            <w:pPr>
              <w:spacing w:after="0"/>
            </w:pPr>
            <w:r>
              <w:rPr>
                <w:b/>
                <w:color w:val="FFFFFF"/>
                <w:sz w:val="16"/>
              </w:rPr>
              <w:t>LAYER</w:t>
            </w:r>
          </w:p>
        </w:tc>
        <w:tc>
          <w:tcPr>
            <w:tcW w:type="dxa" w:w="3360"/>
            <w:shd w:fill="12253A"/>
            <w:tcMar>
              <w:top w:w="100" w:type="dxa"/>
              <w:start w:w="120" w:type="dxa"/>
              <w:bottom w:w="100" w:type="dxa"/>
              <w:end w:w="120" w:type="dxa"/>
            </w:tcMar>
            <w:vAlign w:val="center"/>
          </w:tcPr>
          <w:p>
            <w:pPr>
              <w:spacing w:after="0"/>
            </w:pPr>
            <w:r>
              <w:rPr>
                <w:b/>
                <w:color w:val="FFFFFF"/>
                <w:sz w:val="16"/>
              </w:rPr>
              <w:t>ITS JOB</w:t>
            </w:r>
          </w:p>
        </w:tc>
        <w:tc>
          <w:tcPr>
            <w:tcW w:type="dxa" w:w="3360"/>
            <w:shd w:fill="12253A"/>
            <w:tcMar>
              <w:top w:w="100" w:type="dxa"/>
              <w:start w:w="120" w:type="dxa"/>
              <w:bottom w:w="100" w:type="dxa"/>
              <w:end w:w="120" w:type="dxa"/>
            </w:tcMar>
            <w:vAlign w:val="center"/>
          </w:tcPr>
          <w:p>
            <w:pPr>
              <w:spacing w:after="0"/>
            </w:pPr>
            <w:r>
              <w:rPr>
                <w:b/>
                <w:color w:val="FFFFFF"/>
                <w:sz w:val="16"/>
              </w:rPr>
              <w:t>WHAT TO SAY</w:t>
            </w:r>
          </w:p>
        </w:tc>
      </w:tr>
      <w:tr>
        <w:tc>
          <w:tcPr>
            <w:tcW w:type="dxa" w:w="2088"/>
            <w:vAlign w:val="center"/>
            <w:tcMar>
              <w:top w:w="100" w:type="dxa"/>
              <w:start w:w="120" w:type="dxa"/>
              <w:bottom w:w="100" w:type="dxa"/>
              <w:end w:w="120" w:type="dxa"/>
            </w:tcMar>
            <w:shd w:fill="F2F5F8"/>
          </w:tcPr>
          <w:p>
            <w:pPr>
              <w:spacing w:after="0" w:line="240" w:lineRule="auto"/>
            </w:pPr>
            <w:r>
              <w:rPr>
                <w:color w:val="1C2A38"/>
                <w:sz w:val="18"/>
              </w:rPr>
              <w:t>Deep SVDD</w:t>
            </w:r>
          </w:p>
        </w:tc>
        <w:tc>
          <w:tcPr>
            <w:tcW w:type="dxa" w:w="2088"/>
            <w:vAlign w:val="center"/>
            <w:tcMar>
              <w:top w:w="100" w:type="dxa"/>
              <w:start w:w="120" w:type="dxa"/>
              <w:bottom w:w="100" w:type="dxa"/>
              <w:end w:w="120" w:type="dxa"/>
            </w:tcMar>
            <w:shd w:fill="F2F5F8"/>
          </w:tcPr>
          <w:p>
            <w:pPr>
              <w:spacing w:after="0" w:line="240" w:lineRule="auto"/>
            </w:pPr>
            <w:r>
              <w:rPr>
                <w:color w:val="1C2A38"/>
                <w:sz w:val="18"/>
              </w:rPr>
              <w:t>Detection</w:t>
            </w:r>
          </w:p>
        </w:tc>
        <w:tc>
          <w:tcPr>
            <w:tcW w:type="dxa" w:w="6120"/>
            <w:vAlign w:val="center"/>
            <w:tcMar>
              <w:top w:w="100" w:type="dxa"/>
              <w:start w:w="120" w:type="dxa"/>
              <w:bottom w:w="100" w:type="dxa"/>
              <w:end w:w="120" w:type="dxa"/>
            </w:tcMar>
            <w:shd w:fill="F2F5F8"/>
          </w:tcPr>
          <w:p>
            <w:pPr>
              <w:spacing w:after="0" w:line="240" w:lineRule="auto"/>
            </w:pPr>
            <w:r>
              <w:rPr>
                <w:color w:val="1C2A38"/>
                <w:sz w:val="18"/>
              </w:rPr>
              <w:t>The detector decides whether the flow score crosses the fixed threshold.</w:t>
            </w:r>
          </w:p>
        </w:tc>
      </w:tr>
      <w:tr>
        <w:tc>
          <w:tcPr>
            <w:tcW w:type="dxa" w:w="2088"/>
            <w:vAlign w:val="center"/>
            <w:tcMar>
              <w:top w:w="100" w:type="dxa"/>
              <w:start w:w="120" w:type="dxa"/>
              <w:bottom w:w="100" w:type="dxa"/>
              <w:end w:w="120" w:type="dxa"/>
            </w:tcMar>
          </w:tcPr>
          <w:p>
            <w:pPr>
              <w:spacing w:after="0" w:line="240" w:lineRule="auto"/>
            </w:pPr>
            <w:r>
              <w:rPr>
                <w:color w:val="1C2A38"/>
                <w:sz w:val="18"/>
              </w:rPr>
              <w:t>Feature Perturbation XAI</w:t>
            </w:r>
          </w:p>
        </w:tc>
        <w:tc>
          <w:tcPr>
            <w:tcW w:type="dxa" w:w="2088"/>
            <w:vAlign w:val="center"/>
            <w:tcMar>
              <w:top w:w="100" w:type="dxa"/>
              <w:start w:w="120" w:type="dxa"/>
              <w:bottom w:w="100" w:type="dxa"/>
              <w:end w:w="120" w:type="dxa"/>
            </w:tcMar>
          </w:tcPr>
          <w:p>
            <w:pPr>
              <w:spacing w:after="0" w:line="240" w:lineRule="auto"/>
            </w:pPr>
            <w:r>
              <w:rPr>
                <w:color w:val="1C2A38"/>
                <w:sz w:val="18"/>
              </w:rPr>
              <w:t>Explanation</w:t>
            </w:r>
          </w:p>
        </w:tc>
        <w:tc>
          <w:tcPr>
            <w:tcW w:type="dxa" w:w="6120"/>
            <w:vAlign w:val="center"/>
            <w:tcMar>
              <w:top w:w="100" w:type="dxa"/>
              <w:start w:w="120" w:type="dxa"/>
              <w:bottom w:w="100" w:type="dxa"/>
              <w:end w:w="120" w:type="dxa"/>
            </w:tcMar>
          </w:tcPr>
          <w:p>
            <w:pPr>
              <w:spacing w:after="0" w:line="240" w:lineRule="auto"/>
            </w:pPr>
            <w:r>
              <w:rPr>
                <w:color w:val="1C2A38"/>
                <w:sz w:val="18"/>
              </w:rPr>
              <w:t>The explanation measures how replacing one feature with the neutral baseline changes the score.</w:t>
            </w:r>
          </w:p>
        </w:tc>
      </w:tr>
      <w:tr>
        <w:tc>
          <w:tcPr>
            <w:tcW w:type="dxa" w:w="2088"/>
            <w:vAlign w:val="center"/>
            <w:tcMar>
              <w:top w:w="100" w:type="dxa"/>
              <w:start w:w="120" w:type="dxa"/>
              <w:bottom w:w="100" w:type="dxa"/>
              <w:end w:w="120" w:type="dxa"/>
            </w:tcMar>
            <w:shd w:fill="F2F5F8"/>
          </w:tcPr>
          <w:p>
            <w:pPr>
              <w:spacing w:after="0" w:line="240" w:lineRule="auto"/>
            </w:pPr>
            <w:r>
              <w:rPr>
                <w:color w:val="1C2A38"/>
                <w:sz w:val="18"/>
              </w:rPr>
              <w:t>MITRE ATT&amp;CK</w:t>
            </w:r>
          </w:p>
        </w:tc>
        <w:tc>
          <w:tcPr>
            <w:tcW w:type="dxa" w:w="2088"/>
            <w:vAlign w:val="center"/>
            <w:tcMar>
              <w:top w:w="100" w:type="dxa"/>
              <w:start w:w="120" w:type="dxa"/>
              <w:bottom w:w="100" w:type="dxa"/>
              <w:end w:w="120" w:type="dxa"/>
            </w:tcMar>
            <w:shd w:fill="F2F5F8"/>
          </w:tcPr>
          <w:p>
            <w:pPr>
              <w:spacing w:after="0" w:line="240" w:lineRule="auto"/>
            </w:pPr>
            <w:r>
              <w:rPr>
                <w:color w:val="1C2A38"/>
                <w:sz w:val="18"/>
              </w:rPr>
              <w:t>Context</w:t>
            </w:r>
          </w:p>
        </w:tc>
        <w:tc>
          <w:tcPr>
            <w:tcW w:type="dxa" w:w="6120"/>
            <w:vAlign w:val="center"/>
            <w:tcMar>
              <w:top w:w="100" w:type="dxa"/>
              <w:start w:w="120" w:type="dxa"/>
              <w:bottom w:w="100" w:type="dxa"/>
              <w:end w:w="120" w:type="dxa"/>
            </w:tcMar>
            <w:shd w:fill="F2F5F8"/>
          </w:tcPr>
          <w:p>
            <w:pPr>
              <w:spacing w:after="0" w:line="240" w:lineRule="auto"/>
            </w:pPr>
            <w:r>
              <w:rPr>
                <w:color w:val="1C2A38"/>
                <w:sz w:val="18"/>
              </w:rPr>
              <w:t>The mapping offers evidence-qualified technique candidates; it is not another detector.</w:t>
            </w:r>
          </w:p>
        </w:tc>
      </w:tr>
      <w:tr>
        <w:tc>
          <w:tcPr>
            <w:tcW w:type="dxa" w:w="2088"/>
            <w:vAlign w:val="center"/>
            <w:tcMar>
              <w:top w:w="100" w:type="dxa"/>
              <w:start w:w="120" w:type="dxa"/>
              <w:bottom w:w="100" w:type="dxa"/>
              <w:end w:w="120" w:type="dxa"/>
            </w:tcMar>
          </w:tcPr>
          <w:p>
            <w:pPr>
              <w:spacing w:after="0" w:line="240" w:lineRule="auto"/>
            </w:pPr>
            <w:r>
              <w:rPr>
                <w:color w:val="1C2A38"/>
                <w:sz w:val="18"/>
              </w:rPr>
              <w:t>LLM or fallback</w:t>
            </w:r>
          </w:p>
        </w:tc>
        <w:tc>
          <w:tcPr>
            <w:tcW w:type="dxa" w:w="2088"/>
            <w:vAlign w:val="center"/>
            <w:tcMar>
              <w:top w:w="100" w:type="dxa"/>
              <w:start w:w="120" w:type="dxa"/>
              <w:bottom w:w="100" w:type="dxa"/>
              <w:end w:w="120" w:type="dxa"/>
            </w:tcMar>
          </w:tcPr>
          <w:p>
            <w:pPr>
              <w:spacing w:after="0" w:line="240" w:lineRule="auto"/>
            </w:pPr>
            <w:r>
              <w:rPr>
                <w:color w:val="1C2A38"/>
                <w:sz w:val="18"/>
              </w:rPr>
              <w:t>Reasoning</w:t>
            </w:r>
          </w:p>
        </w:tc>
        <w:tc>
          <w:tcPr>
            <w:tcW w:type="dxa" w:w="6120"/>
            <w:vAlign w:val="center"/>
            <w:tcMar>
              <w:top w:w="100" w:type="dxa"/>
              <w:start w:w="120" w:type="dxa"/>
              <w:bottom w:w="100" w:type="dxa"/>
              <w:end w:w="120" w:type="dxa"/>
            </w:tcMar>
          </w:tcPr>
          <w:p>
            <w:pPr>
              <w:spacing w:after="0" w:line="240" w:lineRule="auto"/>
            </w:pPr>
            <w:r>
              <w:rPr>
                <w:color w:val="1C2A38"/>
                <w:sz w:val="18"/>
              </w:rPr>
              <w:t>It summarizes the supplied result. Fallback mode is labeled and is not presented as a real LLM.</w:t>
            </w:r>
          </w:p>
        </w:tc>
      </w:tr>
    </w:tbl>
    <w:p>
      <w:pPr>
        <w:spacing w:after="0"/>
      </w:pPr>
    </w:p>
    <w:p>
      <w:r>
        <w:rPr>
          <w:b/>
          <w:i w:val="0"/>
        </w:rPr>
        <w:t>Main takeaway:</w:t>
      </w:r>
      <w:r>
        <w:rPr>
          <w:i w:val="0"/>
        </w:rPr>
        <w:t xml:space="preserve"> show the score first, then explain it, then add context. Keep observations separate from interpretations.</w:t>
      </w:r>
    </w:p>
    <w:p>
      <w:r>
        <w:br w:type="page"/>
      </w:r>
    </w:p>
    <w:p>
      <w:pPr>
        <w:pStyle w:val="Heading1"/>
      </w:pPr>
      <w:r>
        <w:t>How the dashboard works</w:t>
      </w:r>
    </w:p>
    <w:p>
      <w:r>
        <w:rPr>
          <w:i w:val="0"/>
        </w:rPr>
        <w:t>The dashboard is a presentation interface around the project’s saved model and supporting evidence. It does not retrain or replace the detector. The backend loads the checkpoint once at startup and uses CPU inference for a single flow.</w:t>
      </w:r>
    </w:p>
    <w:tbl>
      <w:tblPr>
        <w:tblW w:type="auto" w:w="0"/>
        <w:jc w:val="center"/>
        <w:tblLayout w:type="fixed"/>
        <w:tblLook w:firstColumn="1" w:firstRow="1" w:lastColumn="0" w:lastRow="0" w:noHBand="0" w:noVBand="1" w:val="04A0"/>
      </w:tblPr>
      <w:tblGrid>
        <w:gridCol w:w="1656"/>
        <w:gridCol w:w="4392"/>
        <w:gridCol w:w="4248"/>
      </w:tblGrid>
      <w:tr>
        <w:trPr>
          <w:tblHeader w:val="true"/>
        </w:trPr>
        <w:tc>
          <w:tcPr>
            <w:tcW w:type="dxa" w:w="3360"/>
            <w:shd w:fill="12253A"/>
            <w:tcMar>
              <w:top w:w="100" w:type="dxa"/>
              <w:start w:w="120" w:type="dxa"/>
              <w:bottom w:w="100" w:type="dxa"/>
              <w:end w:w="120" w:type="dxa"/>
            </w:tcMar>
            <w:vAlign w:val="center"/>
          </w:tcPr>
          <w:p>
            <w:pPr>
              <w:spacing w:after="0"/>
            </w:pPr>
            <w:r>
              <w:rPr>
                <w:b/>
                <w:color w:val="FFFFFF"/>
                <w:sz w:val="16"/>
              </w:rPr>
              <w:t>STAGE</w:t>
            </w:r>
          </w:p>
        </w:tc>
        <w:tc>
          <w:tcPr>
            <w:tcW w:type="dxa" w:w="3360"/>
            <w:shd w:fill="12253A"/>
            <w:tcMar>
              <w:top w:w="100" w:type="dxa"/>
              <w:start w:w="120" w:type="dxa"/>
              <w:bottom w:w="100" w:type="dxa"/>
              <w:end w:w="120" w:type="dxa"/>
            </w:tcMar>
            <w:vAlign w:val="center"/>
          </w:tcPr>
          <w:p>
            <w:pPr>
              <w:spacing w:after="0"/>
            </w:pPr>
            <w:r>
              <w:rPr>
                <w:b/>
                <w:color w:val="FFFFFF"/>
                <w:sz w:val="16"/>
              </w:rPr>
              <w:t>WHAT HAPPENS</w:t>
            </w:r>
          </w:p>
        </w:tc>
        <w:tc>
          <w:tcPr>
            <w:tcW w:type="dxa" w:w="3360"/>
            <w:shd w:fill="12253A"/>
            <w:tcMar>
              <w:top w:w="100" w:type="dxa"/>
              <w:start w:w="120" w:type="dxa"/>
              <w:bottom w:w="100" w:type="dxa"/>
              <w:end w:w="120" w:type="dxa"/>
            </w:tcMar>
            <w:vAlign w:val="center"/>
          </w:tcPr>
          <w:p>
            <w:pPr>
              <w:spacing w:after="0"/>
            </w:pPr>
            <w:r>
              <w:rPr>
                <w:b/>
                <w:color w:val="FFFFFF"/>
                <w:sz w:val="16"/>
              </w:rPr>
              <w:t>PRESENTER WORDING</w:t>
            </w:r>
          </w:p>
        </w:tc>
      </w:tr>
      <w:tr>
        <w:tc>
          <w:tcPr>
            <w:tcW w:type="dxa" w:w="1656"/>
            <w:vAlign w:val="center"/>
            <w:tcMar>
              <w:top w:w="100" w:type="dxa"/>
              <w:start w:w="120" w:type="dxa"/>
              <w:bottom w:w="100" w:type="dxa"/>
              <w:end w:w="120" w:type="dxa"/>
            </w:tcMar>
            <w:shd w:fill="F2F5F8"/>
          </w:tcPr>
          <w:p>
            <w:pPr>
              <w:spacing w:after="0" w:line="240" w:lineRule="auto"/>
            </w:pPr>
            <w:r>
              <w:rPr>
                <w:color w:val="1C2A38"/>
                <w:sz w:val="16"/>
              </w:rPr>
              <w:t>Traffic input</w:t>
            </w:r>
          </w:p>
        </w:tc>
        <w:tc>
          <w:tcPr>
            <w:tcW w:type="dxa" w:w="4392"/>
            <w:vAlign w:val="center"/>
            <w:tcMar>
              <w:top w:w="100" w:type="dxa"/>
              <w:start w:w="120" w:type="dxa"/>
              <w:bottom w:w="100" w:type="dxa"/>
              <w:end w:w="120" w:type="dxa"/>
            </w:tcMar>
            <w:shd w:fill="F2F5F8"/>
          </w:tcPr>
          <w:p>
            <w:pPr>
              <w:spacing w:after="0" w:line="240" w:lineRule="auto"/>
            </w:pPr>
            <w:r>
              <w:rPr>
                <w:color w:val="1C2A38"/>
                <w:sz w:val="16"/>
              </w:rPr>
              <w:t>Select a cached row, upload one CSV row, or enter 43 prepared-space values.</w:t>
            </w:r>
          </w:p>
        </w:tc>
        <w:tc>
          <w:tcPr>
            <w:tcW w:type="dxa" w:w="4248"/>
            <w:vAlign w:val="center"/>
            <w:tcMar>
              <w:top w:w="100" w:type="dxa"/>
              <w:start w:w="120" w:type="dxa"/>
              <w:bottom w:w="100" w:type="dxa"/>
              <w:end w:w="120" w:type="dxa"/>
            </w:tcMar>
            <w:shd w:fill="F2F5F8"/>
          </w:tcPr>
          <w:p>
            <w:pPr>
              <w:spacing w:after="0" w:line="240" w:lineRule="auto"/>
            </w:pPr>
            <w:r>
              <w:rPr>
                <w:color w:val="1C2A38"/>
                <w:sz w:val="16"/>
              </w:rPr>
              <w:t>“This is one engineered flow represented by the same 43 features used by the model.”</w:t>
            </w:r>
          </w:p>
        </w:tc>
      </w:tr>
      <w:tr>
        <w:tc>
          <w:tcPr>
            <w:tcW w:type="dxa" w:w="1656"/>
            <w:vAlign w:val="center"/>
            <w:tcMar>
              <w:top w:w="100" w:type="dxa"/>
              <w:start w:w="120" w:type="dxa"/>
              <w:bottom w:w="100" w:type="dxa"/>
              <w:end w:w="120" w:type="dxa"/>
            </w:tcMar>
          </w:tcPr>
          <w:p>
            <w:pPr>
              <w:spacing w:after="0" w:line="240" w:lineRule="auto"/>
            </w:pPr>
            <w:r>
              <w:rPr>
                <w:color w:val="1C2A38"/>
                <w:sz w:val="16"/>
              </w:rPr>
              <w:t>Feature engineering</w:t>
            </w:r>
          </w:p>
        </w:tc>
        <w:tc>
          <w:tcPr>
            <w:tcW w:type="dxa" w:w="4392"/>
            <w:vAlign w:val="center"/>
            <w:tcMar>
              <w:top w:w="100" w:type="dxa"/>
              <w:start w:w="120" w:type="dxa"/>
              <w:bottom w:w="100" w:type="dxa"/>
              <w:end w:w="120" w:type="dxa"/>
            </w:tcMar>
          </w:tcPr>
          <w:p>
            <w:pPr>
              <w:spacing w:after="0" w:line="240" w:lineRule="auto"/>
            </w:pPr>
            <w:r>
              <w:rPr>
                <w:color w:val="1C2A38"/>
                <w:sz w:val="16"/>
              </w:rPr>
              <w:t>The exact feature order comes from the saved project feature list/checkpoint. Inputs must already be in the project’s standardized space.</w:t>
            </w:r>
          </w:p>
        </w:tc>
        <w:tc>
          <w:tcPr>
            <w:tcW w:type="dxa" w:w="4248"/>
            <w:vAlign w:val="center"/>
            <w:tcMar>
              <w:top w:w="100" w:type="dxa"/>
              <w:start w:w="120" w:type="dxa"/>
              <w:bottom w:w="100" w:type="dxa"/>
              <w:end w:w="120" w:type="dxa"/>
            </w:tcMar>
          </w:tcPr>
          <w:p>
            <w:pPr>
              <w:spacing w:after="0" w:line="240" w:lineRule="auto"/>
            </w:pPr>
            <w:r>
              <w:rPr>
                <w:color w:val="1C2A38"/>
                <w:sz w:val="16"/>
              </w:rPr>
              <w:t>“The dashboard preserves the project feature order and does not invent a new scaler.”</w:t>
            </w:r>
          </w:p>
        </w:tc>
      </w:tr>
      <w:tr>
        <w:tc>
          <w:tcPr>
            <w:tcW w:type="dxa" w:w="1656"/>
            <w:vAlign w:val="center"/>
            <w:tcMar>
              <w:top w:w="100" w:type="dxa"/>
              <w:start w:w="120" w:type="dxa"/>
              <w:bottom w:w="100" w:type="dxa"/>
              <w:end w:w="120" w:type="dxa"/>
            </w:tcMar>
            <w:shd w:fill="F2F5F8"/>
          </w:tcPr>
          <w:p>
            <w:pPr>
              <w:spacing w:after="0" w:line="240" w:lineRule="auto"/>
            </w:pPr>
            <w:r>
              <w:rPr>
                <w:color w:val="1C2A38"/>
                <w:sz w:val="16"/>
              </w:rPr>
              <w:t>Deep SVDD</w:t>
            </w:r>
          </w:p>
        </w:tc>
        <w:tc>
          <w:tcPr>
            <w:tcW w:type="dxa" w:w="4392"/>
            <w:vAlign w:val="center"/>
            <w:tcMar>
              <w:top w:w="100" w:type="dxa"/>
              <w:start w:w="120" w:type="dxa"/>
              <w:bottom w:w="100" w:type="dxa"/>
              <w:end w:w="120" w:type="dxa"/>
            </w:tcMar>
            <w:shd w:fill="F2F5F8"/>
          </w:tcPr>
          <w:p>
            <w:pPr>
              <w:spacing w:after="0" w:line="240" w:lineRule="auto"/>
            </w:pPr>
            <w:r>
              <w:rPr>
                <w:color w:val="1C2A38"/>
                <w:sz w:val="16"/>
              </w:rPr>
              <w:t>The network maps the vector into a 16-dimensional latent representation.</w:t>
            </w:r>
          </w:p>
        </w:tc>
        <w:tc>
          <w:tcPr>
            <w:tcW w:type="dxa" w:w="4248"/>
            <w:vAlign w:val="center"/>
            <w:tcMar>
              <w:top w:w="100" w:type="dxa"/>
              <w:start w:w="120" w:type="dxa"/>
              <w:bottom w:w="100" w:type="dxa"/>
              <w:end w:w="120" w:type="dxa"/>
            </w:tcMar>
            <w:shd w:fill="F2F5F8"/>
          </w:tcPr>
          <w:p>
            <w:pPr>
              <w:spacing w:after="0" w:line="240" w:lineRule="auto"/>
            </w:pPr>
            <w:r>
              <w:rPr>
                <w:color w:val="1C2A38"/>
                <w:sz w:val="16"/>
              </w:rPr>
              <w:t>“This is the detection stage, using the existing trained weights.”</w:t>
            </w:r>
          </w:p>
        </w:tc>
      </w:tr>
      <w:tr>
        <w:tc>
          <w:tcPr>
            <w:tcW w:type="dxa" w:w="1656"/>
            <w:vAlign w:val="center"/>
            <w:tcMar>
              <w:top w:w="100" w:type="dxa"/>
              <w:start w:w="120" w:type="dxa"/>
              <w:bottom w:w="100" w:type="dxa"/>
              <w:end w:w="120" w:type="dxa"/>
            </w:tcMar>
          </w:tcPr>
          <w:p>
            <w:pPr>
              <w:spacing w:after="0" w:line="240" w:lineRule="auto"/>
            </w:pPr>
            <w:r>
              <w:rPr>
                <w:color w:val="1C2A38"/>
                <w:sz w:val="16"/>
              </w:rPr>
              <w:t>Anomaly score</w:t>
            </w:r>
          </w:p>
        </w:tc>
        <w:tc>
          <w:tcPr>
            <w:tcW w:type="dxa" w:w="4392"/>
            <w:vAlign w:val="center"/>
            <w:tcMar>
              <w:top w:w="100" w:type="dxa"/>
              <w:start w:w="120" w:type="dxa"/>
              <w:bottom w:w="100" w:type="dxa"/>
              <w:end w:w="120" w:type="dxa"/>
            </w:tcMar>
          </w:tcPr>
          <w:p>
            <w:pPr>
              <w:spacing w:after="0" w:line="240" w:lineRule="auto"/>
            </w:pPr>
            <w:r>
              <w:rPr>
                <w:color w:val="1C2A38"/>
                <w:sz w:val="16"/>
              </w:rPr>
              <w:t>Squared Euclidean distance from the learned benign center is compared with 0.0614192100.</w:t>
            </w:r>
          </w:p>
        </w:tc>
        <w:tc>
          <w:tcPr>
            <w:tcW w:type="dxa" w:w="4248"/>
            <w:vAlign w:val="center"/>
            <w:tcMar>
              <w:top w:w="100" w:type="dxa"/>
              <w:start w:w="120" w:type="dxa"/>
              <w:bottom w:w="100" w:type="dxa"/>
              <w:end w:w="120" w:type="dxa"/>
            </w:tcMar>
          </w:tcPr>
          <w:p>
            <w:pPr>
              <w:spacing w:after="0" w:line="240" w:lineRule="auto"/>
            </w:pPr>
            <w:r>
              <w:rPr>
                <w:color w:val="1C2A38"/>
                <w:sz w:val="16"/>
              </w:rPr>
              <w:t>“A score at or above the frozen threshold is anomalous. It is not a probability.”</w:t>
            </w:r>
          </w:p>
        </w:tc>
      </w:tr>
      <w:tr>
        <w:tc>
          <w:tcPr>
            <w:tcW w:type="dxa" w:w="1656"/>
            <w:vAlign w:val="center"/>
            <w:tcMar>
              <w:top w:w="100" w:type="dxa"/>
              <w:start w:w="120" w:type="dxa"/>
              <w:bottom w:w="100" w:type="dxa"/>
              <w:end w:w="120" w:type="dxa"/>
            </w:tcMar>
            <w:shd w:fill="F2F5F8"/>
          </w:tcPr>
          <w:p>
            <w:pPr>
              <w:spacing w:after="0" w:line="240" w:lineRule="auto"/>
            </w:pPr>
            <w:r>
              <w:rPr>
                <w:color w:val="1C2A38"/>
                <w:sz w:val="16"/>
              </w:rPr>
              <w:t>Feature XAI</w:t>
            </w:r>
          </w:p>
        </w:tc>
        <w:tc>
          <w:tcPr>
            <w:tcW w:type="dxa" w:w="4392"/>
            <w:vAlign w:val="center"/>
            <w:tcMar>
              <w:top w:w="100" w:type="dxa"/>
              <w:start w:w="120" w:type="dxa"/>
              <w:bottom w:w="100" w:type="dxa"/>
              <w:end w:w="120" w:type="dxa"/>
            </w:tcMar>
            <w:shd w:fill="F2F5F8"/>
          </w:tcPr>
          <w:p>
            <w:pPr>
              <w:spacing w:after="0" w:line="240" w:lineRule="auto"/>
            </w:pPr>
            <w:r>
              <w:rPr>
                <w:color w:val="1C2A38"/>
                <w:sz w:val="16"/>
              </w:rPr>
              <w:t>Each feature is set to zero in turn; the model is rescored to measure the contribution.</w:t>
            </w:r>
          </w:p>
        </w:tc>
        <w:tc>
          <w:tcPr>
            <w:tcW w:type="dxa" w:w="4248"/>
            <w:vAlign w:val="center"/>
            <w:tcMar>
              <w:top w:w="100" w:type="dxa"/>
              <w:start w:w="120" w:type="dxa"/>
              <w:bottom w:w="100" w:type="dxa"/>
              <w:end w:w="120" w:type="dxa"/>
            </w:tcMar>
            <w:shd w:fill="F2F5F8"/>
          </w:tcPr>
          <w:p>
            <w:pPr>
              <w:spacing w:after="0" w:line="240" w:lineRule="auto"/>
            </w:pPr>
            <w:r>
              <w:rPr>
                <w:color w:val="1C2A38"/>
                <w:sz w:val="16"/>
              </w:rPr>
              <w:t>“This explains model sensitivity for this flow. It does not prove an attack.”</w:t>
            </w:r>
          </w:p>
        </w:tc>
      </w:tr>
      <w:tr>
        <w:tc>
          <w:tcPr>
            <w:tcW w:type="dxa" w:w="1656"/>
            <w:vAlign w:val="center"/>
            <w:tcMar>
              <w:top w:w="100" w:type="dxa"/>
              <w:start w:w="120" w:type="dxa"/>
              <w:bottom w:w="100" w:type="dxa"/>
              <w:end w:w="120" w:type="dxa"/>
            </w:tcMar>
          </w:tcPr>
          <w:p>
            <w:pPr>
              <w:spacing w:after="0" w:line="240" w:lineRule="auto"/>
            </w:pPr>
            <w:r>
              <w:rPr>
                <w:color w:val="1C2A38"/>
                <w:sz w:val="16"/>
              </w:rPr>
              <w:t>ATT&amp;CK context</w:t>
            </w:r>
          </w:p>
        </w:tc>
        <w:tc>
          <w:tcPr>
            <w:tcW w:type="dxa" w:w="4392"/>
            <w:vAlign w:val="center"/>
            <w:tcMar>
              <w:top w:w="100" w:type="dxa"/>
              <w:start w:w="120" w:type="dxa"/>
              <w:bottom w:w="100" w:type="dxa"/>
              <w:end w:w="120" w:type="dxa"/>
            </w:tcMar>
          </w:tcPr>
          <w:p>
            <w:pPr>
              <w:spacing w:after="0" w:line="240" w:lineRule="auto"/>
            </w:pPr>
            <w:r>
              <w:rPr>
                <w:color w:val="1C2A38"/>
                <w:sz w:val="16"/>
              </w:rPr>
              <w:t>The existing project mapping supplies technique candidates and their qualifications for a known category.</w:t>
            </w:r>
          </w:p>
        </w:tc>
        <w:tc>
          <w:tcPr>
            <w:tcW w:type="dxa" w:w="4248"/>
            <w:vAlign w:val="center"/>
            <w:tcMar>
              <w:top w:w="100" w:type="dxa"/>
              <w:start w:w="120" w:type="dxa"/>
              <w:bottom w:w="100" w:type="dxa"/>
              <w:end w:w="120" w:type="dxa"/>
            </w:tcMar>
          </w:tcPr>
          <w:p>
            <w:pPr>
              <w:spacing w:after="0" w:line="240" w:lineRule="auto"/>
            </w:pPr>
            <w:r>
              <w:rPr>
                <w:color w:val="1C2A38"/>
                <w:sz w:val="16"/>
              </w:rPr>
              <w:t>“This contextualizes a selected dataset category; Deep SVDD does not predict that label.”</w:t>
            </w:r>
          </w:p>
        </w:tc>
      </w:tr>
      <w:tr>
        <w:tc>
          <w:tcPr>
            <w:tcW w:type="dxa" w:w="1656"/>
            <w:vAlign w:val="center"/>
            <w:tcMar>
              <w:top w:w="100" w:type="dxa"/>
              <w:start w:w="120" w:type="dxa"/>
              <w:bottom w:w="100" w:type="dxa"/>
              <w:end w:w="120" w:type="dxa"/>
            </w:tcMar>
            <w:shd w:fill="F2F5F8"/>
          </w:tcPr>
          <w:p>
            <w:pPr>
              <w:spacing w:after="0" w:line="240" w:lineRule="auto"/>
            </w:pPr>
            <w:r>
              <w:rPr>
                <w:color w:val="1C2A38"/>
                <w:sz w:val="16"/>
              </w:rPr>
              <w:t>Analyst report</w:t>
            </w:r>
          </w:p>
        </w:tc>
        <w:tc>
          <w:tcPr>
            <w:tcW w:type="dxa" w:w="4392"/>
            <w:vAlign w:val="center"/>
            <w:tcMar>
              <w:top w:w="100" w:type="dxa"/>
              <w:start w:w="120" w:type="dxa"/>
              <w:bottom w:w="100" w:type="dxa"/>
              <w:end w:w="120" w:type="dxa"/>
            </w:tcMar>
            <w:shd w:fill="F2F5F8"/>
          </w:tcPr>
          <w:p>
            <w:pPr>
              <w:spacing w:after="0" w:line="240" w:lineRule="auto"/>
            </w:pPr>
            <w:r>
              <w:rPr>
                <w:color w:val="1C2A38"/>
                <w:sz w:val="16"/>
              </w:rPr>
              <w:t>A constrained optional LLM or the labeled fallback summarizes the structured result.</w:t>
            </w:r>
          </w:p>
        </w:tc>
        <w:tc>
          <w:tcPr>
            <w:tcW w:type="dxa" w:w="4248"/>
            <w:vAlign w:val="center"/>
            <w:tcMar>
              <w:top w:w="100" w:type="dxa"/>
              <w:start w:w="120" w:type="dxa"/>
              <w:bottom w:w="100" w:type="dxa"/>
              <w:end w:w="120" w:type="dxa"/>
            </w:tcMar>
            <w:shd w:fill="F2F5F8"/>
          </w:tcPr>
          <w:p>
            <w:pPr>
              <w:spacing w:after="0" w:line="240" w:lineRule="auto"/>
            </w:pPr>
            <w:r>
              <w:rPr>
                <w:color w:val="1C2A38"/>
                <w:sz w:val="16"/>
              </w:rPr>
              <w:t>“Reasoning comes after detection and cannot change the detector decision.”</w:t>
            </w:r>
          </w:p>
        </w:tc>
      </w:tr>
    </w:tbl>
    <w:p>
      <w:pPr>
        <w:spacing w:after="0"/>
      </w:pPr>
    </w:p>
    <w:p>
      <w:pPr>
        <w:pStyle w:val="Heading2"/>
      </w:pPr>
      <w:r>
        <w:t>Model facts worth remembering</w:t>
      </w:r>
    </w:p>
    <w:p>
      <w:pPr>
        <w:pStyle w:val="ListBullet"/>
        <w:spacing w:after="40"/>
      </w:pPr>
      <w:r>
        <w:t>Detector: Deep SVDD; input count: 43; hidden layers: 128 and 64; latent dimension: 16.</w:t>
      </w:r>
    </w:p>
    <w:p>
      <w:pPr>
        <w:pStyle w:val="ListBullet"/>
        <w:spacing w:after="40"/>
      </w:pPr>
      <w:r>
        <w:t>The threshold is read from the saved checkpoint and is not reselected by dashboard use.</w:t>
      </w:r>
    </w:p>
    <w:p>
      <w:pPr>
        <w:pStyle w:val="ListBullet"/>
        <w:spacing w:after="40"/>
      </w:pPr>
      <w:r>
        <w:t>Anomaly rule: score ≥ threshold. The dashboard does not turn the distance into an anomaly probability.</w:t>
      </w:r>
    </w:p>
    <w:p>
      <w:pPr>
        <w:pStyle w:val="ListBullet"/>
        <w:spacing w:after="40"/>
      </w:pPr>
      <w:r>
        <w:t>The XAI baseline is 0 in the project’s standardized feature space, corresponding to the training-data mean under the project’s documented preprocessing.</w:t>
      </w:r>
    </w:p>
    <w:tbl>
      <w:tblPr>
        <w:tblW w:type="auto" w:w="0"/>
        <w:jc w:val="center"/>
        <w:tblLook w:firstColumn="1" w:firstRow="1" w:lastColumn="0" w:lastRow="0" w:noHBand="0" w:noVBand="1" w:val="04A0"/>
      </w:tblPr>
      <w:tblGrid>
        <w:gridCol w:w="10080"/>
      </w:tblGrid>
      <w:tr>
        <w:tc>
          <w:tcPr>
            <w:tcW w:type="dxa" w:w="10080"/>
            <w:shd w:fill="FFF5E6"/>
            <w:tcMar>
              <w:top w:w="140" w:type="dxa"/>
              <w:start w:w="190" w:type="dxa"/>
              <w:bottom w:w="140" w:type="dxa"/>
              <w:end w:w="190" w:type="dxa"/>
            </w:tcMar>
          </w:tcPr>
          <w:p>
            <w:pPr>
              <w:spacing w:after="60"/>
            </w:pPr>
            <w:r>
              <w:rPr>
                <w:b/>
                <w:color w:val="B77A16"/>
                <w:sz w:val="16"/>
              </w:rPr>
              <w:t>LANGUAGE TO AVOID</w:t>
            </w:r>
          </w:p>
          <w:p>
            <w:pPr>
              <w:spacing w:after="0" w:line="259" w:lineRule="auto"/>
            </w:pPr>
            <w:r>
              <w:rPr>
                <w:color w:val="1C2A38"/>
                <w:sz w:val="20"/>
              </w:rPr>
              <w:t>Do not say that a feature proves a particular attack, that the model outputs a probability, or that the LLM detected the threat.</w:t>
            </w:r>
          </w:p>
        </w:tc>
      </w:tr>
    </w:tbl>
    <w:p>
      <w:pPr>
        <w:spacing w:after="0"/>
      </w:pPr>
    </w:p>
    <w:p>
      <w:r>
        <w:br w:type="page"/>
      </w:r>
    </w:p>
    <w:p>
      <w:pPr>
        <w:pStyle w:val="Heading1"/>
      </w:pPr>
      <w:r>
        <w:t>Before the evaluation</w:t>
      </w:r>
    </w:p>
    <w:p>
      <w:pPr>
        <w:pStyle w:val="Heading2"/>
      </w:pPr>
      <w:r>
        <w:t>Start both parts of the application</w:t>
      </w:r>
    </w:p>
    <w:p>
      <w:r>
        <w:rPr>
          <w:i w:val="0"/>
        </w:rPr>
        <w:t>Open two PowerShell windows in the project folder. Start the backend first so the dashboard can read model status and demo samples.</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5040"/>
            <w:shd w:fill="12253A"/>
            <w:tcMar>
              <w:top w:w="100" w:type="dxa"/>
              <w:start w:w="120" w:type="dxa"/>
              <w:bottom w:w="100" w:type="dxa"/>
              <w:end w:w="120" w:type="dxa"/>
            </w:tcMar>
            <w:vAlign w:val="center"/>
          </w:tcPr>
          <w:p>
            <w:pPr>
              <w:spacing w:after="0"/>
            </w:pPr>
            <w:r>
              <w:rPr>
                <w:b/>
                <w:color w:val="FFFFFF"/>
                <w:sz w:val="16"/>
              </w:rPr>
              <w:t>BACKEND TERMINAL</w:t>
            </w:r>
          </w:p>
        </w:tc>
        <w:tc>
          <w:tcPr>
            <w:tcW w:type="dxa" w:w="5040"/>
            <w:shd w:fill="12253A"/>
            <w:tcMar>
              <w:top w:w="100" w:type="dxa"/>
              <w:start w:w="120" w:type="dxa"/>
              <w:bottom w:w="100" w:type="dxa"/>
              <w:end w:w="120" w:type="dxa"/>
            </w:tcMar>
            <w:vAlign w:val="center"/>
          </w:tcPr>
          <w:p>
            <w:pPr>
              <w:spacing w:after="0"/>
            </w:pPr>
            <w:r>
              <w:rPr>
                <w:b/>
                <w:color w:val="FFFFFF"/>
                <w:sz w:val="16"/>
              </w:rPr>
              <w:t>FRONTEND TERMINAL</w:t>
            </w:r>
          </w:p>
        </w:tc>
      </w:tr>
      <w:tr>
        <w:tc>
          <w:tcPr>
            <w:tcW w:type="dxa" w:w="4680"/>
            <w:vAlign w:val="center"/>
            <w:tcMar>
              <w:top w:w="100" w:type="dxa"/>
              <w:start w:w="120" w:type="dxa"/>
              <w:bottom w:w="100" w:type="dxa"/>
              <w:end w:w="120" w:type="dxa"/>
            </w:tcMar>
            <w:shd w:fill="F2F5F8"/>
          </w:tcPr>
          <w:p>
            <w:pPr>
              <w:spacing w:after="0" w:line="240" w:lineRule="auto"/>
            </w:pPr>
            <w:r>
              <w:rPr>
                <w:color w:val="1C2A38"/>
                <w:sz w:val="18"/>
              </w:rPr>
              <w:t>cd backend</w:t>
              <w:br/>
              <w:t>python -m uvicorn main:app --reload</w:t>
            </w:r>
          </w:p>
        </w:tc>
        <w:tc>
          <w:tcPr>
            <w:tcW w:type="dxa" w:w="4680"/>
            <w:vAlign w:val="center"/>
            <w:tcMar>
              <w:top w:w="100" w:type="dxa"/>
              <w:start w:w="120" w:type="dxa"/>
              <w:bottom w:w="100" w:type="dxa"/>
              <w:end w:w="120" w:type="dxa"/>
            </w:tcMar>
            <w:shd w:fill="F2F5F8"/>
          </w:tcPr>
          <w:p>
            <w:pPr>
              <w:spacing w:after="0" w:line="240" w:lineRule="auto"/>
            </w:pPr>
            <w:r>
              <w:rPr>
                <w:color w:val="1C2A38"/>
                <w:sz w:val="18"/>
              </w:rPr>
              <w:t>cd frontend</w:t>
              <w:br/>
              <w:t>npm install</w:t>
              <w:br/>
              <w:t>npm run dev</w:t>
            </w:r>
          </w:p>
        </w:tc>
      </w:tr>
    </w:tbl>
    <w:p>
      <w:pPr>
        <w:spacing w:after="0"/>
      </w:pPr>
    </w:p>
    <w:p>
      <w:r>
        <w:rPr>
          <w:i w:val="0"/>
        </w:rPr>
        <w:t>Open http://localhost:5173. The backend API documentation is available at http://localhost:8000/docs. If the backend environment has not been prepared, install the packages from backend/requirements.txt in the Python environment that includes the project’s PyTorch support.</w:t>
      </w:r>
    </w:p>
    <w:p>
      <w:pPr>
        <w:pStyle w:val="Heading2"/>
      </w:pPr>
      <w:r>
        <w:t>Do a quick pre-demo check</w:t>
      </w:r>
    </w:p>
    <w:p>
      <w:pPr>
        <w:pStyle w:val="ListBullet"/>
        <w:spacing w:after="40"/>
      </w:pPr>
      <w:r>
        <w:t>Open the dashboard and confirm the model status is Operational.</w:t>
      </w:r>
    </w:p>
    <w:p>
      <w:pPr>
        <w:pStyle w:val="ListBullet"/>
        <w:spacing w:after="40"/>
      </w:pPr>
      <w:r>
        <w:t>Check that the threshold reads approximately 0.061419 and the feature count is 43.</w:t>
      </w:r>
    </w:p>
    <w:p>
      <w:pPr>
        <w:pStyle w:val="ListBullet"/>
        <w:spacing w:after="40"/>
      </w:pPr>
      <w:r>
        <w:t>Confirm the demo selector offers BenignTraffic, Mirai-greeth_flood, and XSS.</w:t>
      </w:r>
    </w:p>
    <w:p>
      <w:pPr>
        <w:pStyle w:val="ListBullet"/>
        <w:spacing w:after="40"/>
      </w:pPr>
      <w:r>
        <w:t>Run one BenignTraffic sample and one Mirai sample before the evaluator arrives.</w:t>
      </w:r>
    </w:p>
    <w:p>
      <w:pPr>
        <w:pStyle w:val="ListBullet"/>
        <w:spacing w:after="40"/>
      </w:pPr>
      <w:r>
        <w:t>If using the OpenAI mode, set OPENAI_API_KEY in the backend terminal; otherwise expect Demo Fallback Reasoning.</w:t>
      </w:r>
    </w:p>
    <w:p>
      <w:pPr>
        <w:pStyle w:val="ListBullet"/>
        <w:spacing w:after="40"/>
      </w:pPr>
      <w:r>
        <w:t>Keep a one-row CSV with the exact 43 feature headers ready in case the sample selector is unavailable.</w:t>
      </w:r>
    </w:p>
    <w:p>
      <w:pPr>
        <w:pStyle w:val="Heading2"/>
      </w:pPr>
      <w:r>
        <w:t>A useful team split</w:t>
      </w:r>
    </w:p>
    <w:tbl>
      <w:tblPr>
        <w:tblW w:type="auto" w:w="0"/>
        <w:jc w:val="center"/>
        <w:tblLayout w:type="fixed"/>
        <w:tblLook w:firstColumn="1" w:firstRow="1" w:lastColumn="0" w:lastRow="0" w:noHBand="0" w:noVBand="1" w:val="04A0"/>
      </w:tblPr>
      <w:tblGrid>
        <w:gridCol w:w="2376"/>
        <w:gridCol w:w="7128"/>
      </w:tblGrid>
      <w:tr>
        <w:trPr>
          <w:tblHeader w:val="true"/>
        </w:trPr>
        <w:tc>
          <w:tcPr>
            <w:tcW w:type="dxa" w:w="5040"/>
            <w:shd w:fill="12253A"/>
            <w:tcMar>
              <w:top w:w="100" w:type="dxa"/>
              <w:start w:w="120" w:type="dxa"/>
              <w:bottom w:w="100" w:type="dxa"/>
              <w:end w:w="120" w:type="dxa"/>
            </w:tcMar>
            <w:vAlign w:val="center"/>
          </w:tcPr>
          <w:p>
            <w:pPr>
              <w:spacing w:after="0"/>
            </w:pPr>
            <w:r>
              <w:rPr>
                <w:b/>
                <w:color w:val="FFFFFF"/>
                <w:sz w:val="16"/>
              </w:rPr>
              <w:t>PRESENTER</w:t>
            </w:r>
          </w:p>
        </w:tc>
        <w:tc>
          <w:tcPr>
            <w:tcW w:type="dxa" w:w="5040"/>
            <w:shd w:fill="12253A"/>
            <w:tcMar>
              <w:top w:w="100" w:type="dxa"/>
              <w:start w:w="120" w:type="dxa"/>
              <w:bottom w:w="100" w:type="dxa"/>
              <w:end w:w="120" w:type="dxa"/>
            </w:tcMar>
            <w:vAlign w:val="center"/>
          </w:tcPr>
          <w:p>
            <w:pPr>
              <w:spacing w:after="0"/>
            </w:pPr>
            <w:r>
              <w:rPr>
                <w:b/>
                <w:color w:val="FFFFFF"/>
                <w:sz w:val="16"/>
              </w:rPr>
              <w:t>RESPONSIBILITY</w:t>
            </w:r>
          </w:p>
        </w:tc>
      </w:tr>
      <w:tr>
        <w:tc>
          <w:tcPr>
            <w:tcW w:type="dxa" w:w="2376"/>
            <w:vAlign w:val="center"/>
            <w:tcMar>
              <w:top w:w="100" w:type="dxa"/>
              <w:start w:w="120" w:type="dxa"/>
              <w:bottom w:w="100" w:type="dxa"/>
              <w:end w:w="120" w:type="dxa"/>
            </w:tcMar>
            <w:shd w:fill="F2F5F8"/>
          </w:tcPr>
          <w:p>
            <w:pPr>
              <w:spacing w:after="0" w:line="240" w:lineRule="auto"/>
            </w:pPr>
            <w:r>
              <w:rPr>
                <w:color w:val="1C2A38"/>
                <w:sz w:val="18"/>
              </w:rPr>
              <w:t>Driver</w:t>
            </w:r>
          </w:p>
        </w:tc>
        <w:tc>
          <w:tcPr>
            <w:tcW w:type="dxa" w:w="7128"/>
            <w:vAlign w:val="center"/>
            <w:tcMar>
              <w:top w:w="100" w:type="dxa"/>
              <w:start w:w="120" w:type="dxa"/>
              <w:bottom w:w="100" w:type="dxa"/>
              <w:end w:w="120" w:type="dxa"/>
            </w:tcMar>
            <w:shd w:fill="F2F5F8"/>
          </w:tcPr>
          <w:p>
            <w:pPr>
              <w:spacing w:after="0" w:line="240" w:lineRule="auto"/>
            </w:pPr>
            <w:r>
              <w:rPr>
                <w:color w:val="1C2A38"/>
                <w:sz w:val="18"/>
              </w:rPr>
              <w:t>Navigate the dashboard, select each sample, and run analysis.</w:t>
            </w:r>
          </w:p>
        </w:tc>
      </w:tr>
      <w:tr>
        <w:tc>
          <w:tcPr>
            <w:tcW w:type="dxa" w:w="2376"/>
            <w:vAlign w:val="center"/>
            <w:tcMar>
              <w:top w:w="100" w:type="dxa"/>
              <w:start w:w="120" w:type="dxa"/>
              <w:bottom w:w="100" w:type="dxa"/>
              <w:end w:w="120" w:type="dxa"/>
            </w:tcMar>
          </w:tcPr>
          <w:p>
            <w:pPr>
              <w:spacing w:after="0" w:line="240" w:lineRule="auto"/>
            </w:pPr>
            <w:r>
              <w:rPr>
                <w:color w:val="1C2A38"/>
                <w:sz w:val="18"/>
              </w:rPr>
              <w:t>Model explainer</w:t>
            </w:r>
          </w:p>
        </w:tc>
        <w:tc>
          <w:tcPr>
            <w:tcW w:type="dxa" w:w="7128"/>
            <w:vAlign w:val="center"/>
            <w:tcMar>
              <w:top w:w="100" w:type="dxa"/>
              <w:start w:w="120" w:type="dxa"/>
              <w:bottom w:w="100" w:type="dxa"/>
              <w:end w:w="120" w:type="dxa"/>
            </w:tcMar>
          </w:tcPr>
          <w:p>
            <w:pPr>
              <w:spacing w:after="0" w:line="240" w:lineRule="auto"/>
            </w:pPr>
            <w:r>
              <w:rPr>
                <w:color w:val="1C2A38"/>
                <w:sz w:val="18"/>
              </w:rPr>
              <w:t>Describe the Deep SVDD score, fixed threshold, and why the score is not a probability.</w:t>
            </w:r>
          </w:p>
        </w:tc>
      </w:tr>
      <w:tr>
        <w:tc>
          <w:tcPr>
            <w:tcW w:type="dxa" w:w="2376"/>
            <w:vAlign w:val="center"/>
            <w:tcMar>
              <w:top w:w="100" w:type="dxa"/>
              <w:start w:w="120" w:type="dxa"/>
              <w:bottom w:w="100" w:type="dxa"/>
              <w:end w:w="120" w:type="dxa"/>
            </w:tcMar>
            <w:shd w:fill="F2F5F8"/>
          </w:tcPr>
          <w:p>
            <w:pPr>
              <w:spacing w:after="0" w:line="240" w:lineRule="auto"/>
            </w:pPr>
            <w:r>
              <w:rPr>
                <w:color w:val="1C2A38"/>
                <w:sz w:val="18"/>
              </w:rPr>
              <w:t>Evidence explainer</w:t>
            </w:r>
          </w:p>
        </w:tc>
        <w:tc>
          <w:tcPr>
            <w:tcW w:type="dxa" w:w="7128"/>
            <w:vAlign w:val="center"/>
            <w:tcMar>
              <w:top w:w="100" w:type="dxa"/>
              <w:start w:w="120" w:type="dxa"/>
              <w:bottom w:w="100" w:type="dxa"/>
              <w:end w:w="120" w:type="dxa"/>
            </w:tcMar>
            <w:shd w:fill="F2F5F8"/>
          </w:tcPr>
          <w:p>
            <w:pPr>
              <w:spacing w:after="0" w:line="240" w:lineRule="auto"/>
            </w:pPr>
            <w:r>
              <w:rPr>
                <w:color w:val="1C2A38"/>
                <w:sz w:val="18"/>
              </w:rPr>
              <w:t>Walk through feature contributions, mapping qualifications, and the uncertainty in the analyst report.</w:t>
            </w:r>
          </w:p>
        </w:tc>
      </w:tr>
    </w:tbl>
    <w:p>
      <w:pPr>
        <w:spacing w:after="0"/>
      </w:pPr>
    </w:p>
    <w:tbl>
      <w:tblPr>
        <w:tblW w:type="auto" w:w="0"/>
        <w:jc w:val="center"/>
        <w:tblLook w:firstColumn="1" w:firstRow="1" w:lastColumn="0" w:lastRow="0" w:noHBand="0" w:noVBand="1" w:val="04A0"/>
      </w:tblPr>
      <w:tblGrid>
        <w:gridCol w:w="10080"/>
      </w:tblGrid>
      <w:tr>
        <w:tc>
          <w:tcPr>
            <w:tcW w:type="dxa" w:w="10080"/>
            <w:shd w:fill="FFF5E6"/>
            <w:tcMar>
              <w:top w:w="140" w:type="dxa"/>
              <w:start w:w="190" w:type="dxa"/>
              <w:bottom w:w="140" w:type="dxa"/>
              <w:end w:w="190" w:type="dxa"/>
            </w:tcMar>
          </w:tcPr>
          <w:p>
            <w:pPr>
              <w:spacing w:after="60"/>
            </w:pPr>
            <w:r>
              <w:rPr>
                <w:b/>
                <w:color w:val="B77A16"/>
                <w:sz w:val="16"/>
              </w:rPr>
              <w:t>IF THE BACKEND IS OFFLINE</w:t>
            </w:r>
          </w:p>
          <w:p>
            <w:pPr>
              <w:spacing w:after="0" w:line="259" w:lineRule="auto"/>
            </w:pPr>
            <w:r>
              <w:rPr>
                <w:color w:val="1C2A38"/>
                <w:sz w:val="20"/>
              </w:rPr>
              <w:t>The page can still render, but model information and analysis require the FastAPI service. Start the backend and check http://localhost:8000/api/health before continuing.</w:t>
            </w:r>
          </w:p>
        </w:tc>
      </w:tr>
    </w:tbl>
    <w:p>
      <w:pPr>
        <w:spacing w:after="0"/>
      </w:pPr>
    </w:p>
    <w:p>
      <w:r>
        <w:br w:type="page"/>
      </w:r>
    </w:p>
    <w:p>
      <w:pPr>
        <w:pStyle w:val="Heading1"/>
      </w:pPr>
      <w:r>
        <w:t>Live presentation sequence</w:t>
      </w:r>
    </w:p>
    <w:p>
      <w:r>
        <w:rPr>
          <w:i w:val="0"/>
        </w:rPr>
        <w:t>Use the same sequence for each flow. Let the evaluator see the detector decision before you explain downstream context.</w:t>
      </w:r>
    </w:p>
    <w:p>
      <w:pPr>
        <w:pStyle w:val="ListNumber"/>
        <w:spacing w:after="60"/>
      </w:pPr>
      <w:r>
        <w:t>Begin on the dashboard overview. Point out Deep SVDD, the frozen threshold, 43 inputs, and the pipeline stages.</w:t>
      </w:r>
    </w:p>
    <w:p>
      <w:pPr>
        <w:pStyle w:val="ListNumber"/>
        <w:spacing w:after="60"/>
      </w:pPr>
      <w:r>
        <w:t>Open Live Analysis. Choose a verified cached sample or provide a real prepared-space vector. For a cached row, the selected category is dataset context attached to that actual row.</w:t>
      </w:r>
    </w:p>
    <w:p>
      <w:pPr>
        <w:pStyle w:val="ListNumber"/>
        <w:spacing w:after="60"/>
      </w:pPr>
      <w:r>
        <w:t>Click Analyze Traffic. Read the result, actual anomaly score, threshold, and score-versus-threshold indicator.</w:t>
      </w:r>
    </w:p>
    <w:p>
      <w:pPr>
        <w:pStyle w:val="ListNumber"/>
        <w:spacing w:after="60"/>
      </w:pPr>
      <w:r>
        <w:t>Open the explanation panel. Point to the highest contribution bars and the matching feature values in the table.</w:t>
      </w:r>
    </w:p>
    <w:p>
      <w:pPr>
        <w:pStyle w:val="ListNumber"/>
        <w:spacing w:after="60"/>
      </w:pPr>
      <w:r>
        <w:t>Open MITRE ATT&amp;CK. Explain the technique ID, mapping reason, flow/XAI evidence, confidence, qualification, and source.</w:t>
      </w:r>
    </w:p>
    <w:p>
      <w:pPr>
        <w:pStyle w:val="ListNumber"/>
        <w:spacing w:after="60"/>
      </w:pPr>
      <w:r>
        <w:t>Finish with AI SOC Analyst. State whether the report is OpenAI LLM or Demo Fallback Reasoning, then read its limitations.</w:t>
      </w:r>
    </w:p>
    <w:p>
      <w:pPr>
        <w:pStyle w:val="ListNumber"/>
        <w:spacing w:after="60"/>
      </w:pPr>
      <w:r>
        <w:t>Repeat with benign traffic. The result is whatever the saved model scores; do not promise “normal” before seeing it.</w:t>
      </w:r>
    </w:p>
    <w:p>
      <w:pPr>
        <w:pStyle w:val="Heading2"/>
      </w:pPr>
      <w:r>
        <w:t>Suggested talk track</w:t>
      </w:r>
    </w:p>
    <w:tbl>
      <w:tblPr>
        <w:tblW w:type="auto" w:w="0"/>
        <w:jc w:val="center"/>
        <w:tblLook w:firstColumn="1" w:firstRow="1" w:lastColumn="0" w:lastRow="0" w:noHBand="0" w:noVBand="1" w:val="04A0"/>
      </w:tblPr>
      <w:tblGrid>
        <w:gridCol w:w="10080"/>
      </w:tblGrid>
      <w:tr>
        <w:tc>
          <w:tcPr>
            <w:tcW w:type="dxa" w:w="10080"/>
            <w:shd w:fill="EAF4F4"/>
            <w:tcMar>
              <w:top w:w="140" w:type="dxa"/>
              <w:start w:w="190" w:type="dxa"/>
              <w:bottom w:w="140" w:type="dxa"/>
              <w:end w:w="190" w:type="dxa"/>
            </w:tcMar>
          </w:tcPr>
          <w:p>
            <w:pPr>
              <w:spacing w:after="60"/>
            </w:pPr>
            <w:r>
              <w:rPr>
                <w:b/>
                <w:color w:val="087E80"/>
                <w:sz w:val="16"/>
              </w:rPr>
              <w:t>AT THE SCORE</w:t>
            </w:r>
          </w:p>
          <w:p>
            <w:pPr>
              <w:spacing w:after="0" w:line="259" w:lineRule="auto"/>
            </w:pPr>
            <w:r>
              <w:rPr>
                <w:color w:val="1C2A38"/>
                <w:sz w:val="20"/>
              </w:rPr>
              <w:t>“The detector returns a distance from its learned benign center. This flow’s score is [score], and the frozen threshold is [threshold]. Since the score [is/is not] at least the threshold, the detector marks it [anomalous/normal]. This value is a score, not a probability.”</w:t>
            </w:r>
          </w:p>
        </w:tc>
      </w:tr>
    </w:tbl>
    <w:p>
      <w:pPr>
        <w:spacing w:after="0"/>
      </w:pPr>
    </w:p>
    <w:tbl>
      <w:tblPr>
        <w:tblW w:type="auto" w:w="0"/>
        <w:jc w:val="center"/>
        <w:tblLook w:firstColumn="1" w:firstRow="1" w:lastColumn="0" w:lastRow="0" w:noHBand="0" w:noVBand="1" w:val="04A0"/>
      </w:tblPr>
      <w:tblGrid>
        <w:gridCol w:w="10080"/>
      </w:tblGrid>
      <w:tr>
        <w:tc>
          <w:tcPr>
            <w:tcW w:type="dxa" w:w="10080"/>
            <w:shd w:fill="EAF4F4"/>
            <w:tcMar>
              <w:top w:w="140" w:type="dxa"/>
              <w:start w:w="190" w:type="dxa"/>
              <w:bottom w:w="140" w:type="dxa"/>
              <w:end w:w="190" w:type="dxa"/>
            </w:tcMar>
          </w:tcPr>
          <w:p>
            <w:pPr>
              <w:spacing w:after="60"/>
            </w:pPr>
            <w:r>
              <w:rPr>
                <w:b/>
                <w:color w:val="087E80"/>
                <w:sz w:val="16"/>
              </w:rPr>
              <w:t>AT THE EXPLANATION</w:t>
            </w:r>
          </w:p>
          <w:p>
            <w:pPr>
              <w:spacing w:after="0" w:line="259" w:lineRule="auto"/>
            </w:pPr>
            <w:r>
              <w:rPr>
                <w:color w:val="1C2A38"/>
                <w:sz w:val="20"/>
              </w:rPr>
              <w:t>“These bars are per-feature perturbation contributions. Replacing a feature with the neutral value changes the model score. Positive contribution means removing that feature lowered the score. This is evidence about the model’s decision, not proof of a specific attack.”</w:t>
            </w:r>
          </w:p>
        </w:tc>
      </w:tr>
    </w:tbl>
    <w:p>
      <w:pPr>
        <w:spacing w:after="0"/>
      </w:pPr>
    </w:p>
    <w:tbl>
      <w:tblPr>
        <w:tblW w:type="auto" w:w="0"/>
        <w:jc w:val="center"/>
        <w:tblLook w:firstColumn="1" w:firstRow="1" w:lastColumn="0" w:lastRow="0" w:noHBand="0" w:noVBand="1" w:val="04A0"/>
      </w:tblPr>
      <w:tblGrid>
        <w:gridCol w:w="10080"/>
      </w:tblGrid>
      <w:tr>
        <w:tc>
          <w:tcPr>
            <w:tcW w:type="dxa" w:w="10080"/>
            <w:shd w:fill="EAF4F4"/>
            <w:tcMar>
              <w:top w:w="140" w:type="dxa"/>
              <w:start w:w="190" w:type="dxa"/>
              <w:bottom w:w="140" w:type="dxa"/>
              <w:end w:w="190" w:type="dxa"/>
            </w:tcMar>
          </w:tcPr>
          <w:p>
            <w:pPr>
              <w:spacing w:after="60"/>
            </w:pPr>
            <w:r>
              <w:rPr>
                <w:b/>
                <w:color w:val="087E80"/>
                <w:sz w:val="16"/>
              </w:rPr>
              <w:t>AT ATT&amp;CK AND REASONING</w:t>
            </w:r>
          </w:p>
          <w:p>
            <w:pPr>
              <w:spacing w:after="0" w:line="259" w:lineRule="auto"/>
            </w:pPr>
            <w:r>
              <w:rPr>
                <w:color w:val="1C2A38"/>
                <w:sz w:val="20"/>
              </w:rPr>
              <w:t>“The ATT&amp;CK candidate comes from the project’s existing mapping for the supplied category. The qualification explains what additional evidence is needed. The analyst report summarizes the detector and explanation; it does not create a new detection.”</w:t>
            </w:r>
          </w:p>
        </w:tc>
      </w:tr>
    </w:tbl>
    <w:p>
      <w:pPr>
        <w:spacing w:after="0"/>
      </w:pPr>
    </w:p>
    <w:p>
      <w:r>
        <w:br w:type="page"/>
      </w:r>
    </w:p>
    <w:p>
      <w:pPr>
        <w:pStyle w:val="Heading1"/>
      </w:pPr>
      <w:r>
        <w:t>Three demonstration modes</w:t>
      </w:r>
    </w:p>
    <w:p>
      <w:pPr>
        <w:pStyle w:val="Heading2"/>
      </w:pPr>
      <w:r>
        <w:t>BenignTraffic</w:t>
      </w:r>
    </w:p>
    <w:p>
      <w:r>
        <w:rPr>
          <w:i w:val="0"/>
        </w:rPr>
        <w:t>Choose BenignTraffic from the verified sample cache. Analyze it and show the actual decision and score. This demonstrates that the system evaluates benign examples instead of automatically labeling every input malicious.</w:t>
      </w:r>
    </w:p>
    <w:p>
      <w:r>
        <w:rPr>
          <w:i w:val="0"/>
        </w:rPr>
        <w:t>Say: “This row is labeled BenignTraffic in the source sample. The detector independently scores its features. We will report the model’s actual result, including if it crosses the threshold.”</w:t>
      </w:r>
    </w:p>
    <w:p>
      <w:pPr>
        <w:pStyle w:val="Heading2"/>
      </w:pPr>
      <w:r>
        <w:t>Mirai greeth flood</w:t>
      </w:r>
    </w:p>
    <w:p>
      <w:r>
        <w:rPr>
          <w:i w:val="0"/>
        </w:rPr>
        <w:t>Choose Mirai-greeth_flood. Explain that the cached vector is a real prepared-space row from the project data. Show the score, feature perturbations, and the existing Mirai-related ATT&amp;CK context with its qualification.</w:t>
      </w:r>
    </w:p>
    <w:p>
      <w:r>
        <w:rPr>
          <w:i w:val="0"/>
        </w:rPr>
        <w:t>Say: “The dataset category is known for this demonstration row, but Deep SVDD itself only returns normal or anomalous. The mapping uses the known category and project evidence as context.”</w:t>
      </w:r>
    </w:p>
    <w:p>
      <w:pPr>
        <w:pStyle w:val="Heading2"/>
      </w:pPr>
      <w:r>
        <w:t>XSS or another web attack</w:t>
      </w:r>
    </w:p>
    <w:p>
      <w:r>
        <w:rPr>
          <w:i w:val="0"/>
        </w:rPr>
        <w:t>Choose XSS or Uploading_Attack. Show the same pipeline, then emphasize that flow-level evidence may not reveal the application-layer behavior. Keep the ATT&amp;CK mapping qualified and read the uncertainty section.</w:t>
      </w:r>
    </w:p>
    <w:p>
      <w:r>
        <w:rPr>
          <w:i w:val="0"/>
        </w:rPr>
        <w:t>Say: “The detector sees a deviation in these flow features. It does not prove that a particular payload executed or that a web server was compromised.”</w:t>
      </w:r>
    </w:p>
    <w:p>
      <w:pPr>
        <w:pStyle w:val="Heading2"/>
      </w:pPr>
      <w:r>
        <w:t>Custom flow or CSV</w:t>
      </w:r>
    </w:p>
    <w:p>
      <w:pPr>
        <w:pStyle w:val="ListBullet"/>
        <w:spacing w:after="40"/>
      </w:pPr>
      <w:r>
        <w:t>CSV upload accepts one row with the exact 43 feature columns; it rejects a multi-row file or missing feature columns.</w:t>
      </w:r>
    </w:p>
    <w:p>
      <w:pPr>
        <w:pStyle w:val="ListBullet"/>
        <w:spacing w:after="40"/>
      </w:pPr>
      <w:r>
        <w:t>Custom entry is grouped into flow/timing, packet statistics, TCP flags/counts, protocol indicators, and ratios.</w:t>
      </w:r>
    </w:p>
    <w:p>
      <w:pPr>
        <w:pStyle w:val="ListBullet"/>
        <w:spacing w:after="40"/>
      </w:pPr>
      <w:r>
        <w:t>Values must already be in the project’s standardized feature space. Do not paste raw packet counts unless they are transformed exactly as the project expects.</w:t>
      </w:r>
    </w:p>
    <w:p>
      <w:pPr>
        <w:pStyle w:val="ListBullet"/>
        <w:spacing w:after="40"/>
      </w:pPr>
      <w:r>
        <w:t>The zero baseline sets all fields to zero in standardized space. It is a neutral reference, not a captured benign flow.</w:t>
      </w:r>
    </w:p>
    <w:tbl>
      <w:tblPr>
        <w:tblW w:type="auto" w:w="0"/>
        <w:jc w:val="center"/>
        <w:tblLook w:firstColumn="1" w:firstRow="1" w:lastColumn="0" w:lastRow="0" w:noHBand="0" w:noVBand="1" w:val="04A0"/>
      </w:tblPr>
      <w:tblGrid>
        <w:gridCol w:w="10080"/>
      </w:tblGrid>
      <w:tr>
        <w:tc>
          <w:tcPr>
            <w:tcW w:type="dxa" w:w="10080"/>
            <w:shd w:fill="FFF5E6"/>
            <w:tcMar>
              <w:top w:w="140" w:type="dxa"/>
              <w:start w:w="190" w:type="dxa"/>
              <w:bottom w:w="140" w:type="dxa"/>
              <w:end w:w="190" w:type="dxa"/>
            </w:tcMar>
          </w:tcPr>
          <w:p>
            <w:pPr>
              <w:spacing w:after="60"/>
            </w:pPr>
            <w:r>
              <w:rPr>
                <w:b/>
                <w:color w:val="B77A16"/>
                <w:sz w:val="16"/>
              </w:rPr>
              <w:t>IMPORTANT DISTINCTION</w:t>
            </w:r>
          </w:p>
          <w:p>
            <w:pPr>
              <w:spacing w:after="0" w:line="259" w:lineRule="auto"/>
            </w:pPr>
            <w:r>
              <w:rPr>
                <w:color w:val="1C2A38"/>
                <w:sz w:val="20"/>
              </w:rPr>
              <w:t>A selected dataset category is contextual metadata for the mapping layer. It is not an attack label inferred by Deep SVDD.</w:t>
            </w:r>
          </w:p>
        </w:tc>
      </w:tr>
    </w:tbl>
    <w:p>
      <w:pPr>
        <w:spacing w:after="0"/>
      </w:pPr>
    </w:p>
    <w:p>
      <w:r>
        <w:br w:type="page"/>
      </w:r>
    </w:p>
    <w:p>
      <w:pPr>
        <w:pStyle w:val="Heading1"/>
      </w:pPr>
      <w:r>
        <w:t>How to explain the result panels</w:t>
      </w:r>
    </w:p>
    <w:p>
      <w:pPr>
        <w:pStyle w:val="Heading2"/>
      </w:pPr>
      <w:r>
        <w:t>Detection result</w:t>
      </w:r>
    </w:p>
    <w:p>
      <w:r>
        <w:rPr>
          <w:i w:val="0"/>
        </w:rPr>
        <w:t>The score is the squared distance between the latent representation of the flow and the learned benign center. The configured threshold is frozen in the checkpoint. A score equal to the threshold is anomalous because the rule uses greater-than-or-equal. The colored meter is only a visual comparison with that boundary; it does not add a probability scale.</w:t>
      </w:r>
    </w:p>
    <w:p>
      <w:pPr>
        <w:pStyle w:val="Heading2"/>
      </w:pPr>
      <w:r>
        <w:t>Feature Perturbation XAI</w:t>
      </w:r>
    </w:p>
    <w:p>
      <w:r>
        <w:rPr>
          <w:i w:val="0"/>
        </w:rPr>
        <w:t>For the analyzed flow, the backend calculates the original score, replaces one feature at a time with zero, and calculates a masked score. Contribution = original score − masked score. A positive value means the feature contributed to the observed score under this perturbation test; a negative value means the feature made the sample look relatively more normal. Contributions describe this model and this sample.</w:t>
      </w:r>
    </w:p>
    <w:p>
      <w:pPr>
        <w:pStyle w:val="Heading2"/>
      </w:pPr>
      <w:r>
        <w:t>MITRE ATT&amp;CK context</w:t>
      </w:r>
    </w:p>
    <w:p>
      <w:r>
        <w:rPr>
          <w:i w:val="0"/>
        </w:rPr>
        <w:t>The service reads the existing human-reviewed mapping file. A technique can be a candidate or conditional and must retain its confidence, reason, qualification, and source. The result also shows the actual anomaly score and current feature evidence. Flow-level evidence alone may not establish host execution, persistence, browser activity, or application compromise. With no confident mapping, the service says so instead of inventing a technique.</w:t>
      </w:r>
    </w:p>
    <w:p>
      <w:pPr>
        <w:pStyle w:val="Heading2"/>
      </w:pPr>
      <w:r>
        <w:t>AI SOC Analyst</w:t>
      </w:r>
    </w:p>
    <w:p>
      <w:r>
        <w:rPr>
          <w:i w:val="0"/>
        </w:rPr>
        <w:t>When OPENAI_API_KEY is configured, the backend sends structured detector, explanation, category, and mapping evidence to the optional LLM. The prompt prohibits invented scores, features, labels, or ATT&amp;CK techniques. Without a key—or if the call fails—the backend returns Demo Fallback Reasoning. That fallback is labeled and uses the actual score and contributions.</w:t>
      </w:r>
    </w:p>
    <w:tbl>
      <w:tblPr>
        <w:tblW w:type="auto" w:w="0"/>
        <w:jc w:val="center"/>
        <w:tblLayout w:type="fixed"/>
        <w:tblLook w:firstColumn="1" w:firstRow="1" w:lastColumn="0" w:lastRow="0" w:noHBand="0" w:noVBand="1" w:val="04A0"/>
      </w:tblPr>
      <w:tblGrid>
        <w:gridCol w:w="1944"/>
        <w:gridCol w:w="3816"/>
        <w:gridCol w:w="3888"/>
      </w:tblGrid>
      <w:tr>
        <w:trPr>
          <w:tblHeader w:val="true"/>
        </w:trPr>
        <w:tc>
          <w:tcPr>
            <w:tcW w:type="dxa" w:w="3360"/>
            <w:shd w:fill="12253A"/>
            <w:tcMar>
              <w:top w:w="100" w:type="dxa"/>
              <w:start w:w="120" w:type="dxa"/>
              <w:bottom w:w="100" w:type="dxa"/>
              <w:end w:w="120" w:type="dxa"/>
            </w:tcMar>
            <w:vAlign w:val="center"/>
          </w:tcPr>
          <w:p>
            <w:pPr>
              <w:spacing w:after="0"/>
            </w:pPr>
            <w:r>
              <w:rPr>
                <w:b/>
                <w:color w:val="FFFFFF"/>
                <w:sz w:val="16"/>
              </w:rPr>
              <w:t>PANEL</w:t>
            </w:r>
          </w:p>
        </w:tc>
        <w:tc>
          <w:tcPr>
            <w:tcW w:type="dxa" w:w="3360"/>
            <w:shd w:fill="12253A"/>
            <w:tcMar>
              <w:top w:w="100" w:type="dxa"/>
              <w:start w:w="120" w:type="dxa"/>
              <w:bottom w:w="100" w:type="dxa"/>
              <w:end w:w="120" w:type="dxa"/>
            </w:tcMar>
            <w:vAlign w:val="center"/>
          </w:tcPr>
          <w:p>
            <w:pPr>
              <w:spacing w:after="0"/>
            </w:pPr>
            <w:r>
              <w:rPr>
                <w:b/>
                <w:color w:val="FFFFFF"/>
                <w:sz w:val="16"/>
              </w:rPr>
              <w:t>QUESTION IT ANSWERS</w:t>
            </w:r>
          </w:p>
        </w:tc>
        <w:tc>
          <w:tcPr>
            <w:tcW w:type="dxa" w:w="3360"/>
            <w:shd w:fill="12253A"/>
            <w:tcMar>
              <w:top w:w="100" w:type="dxa"/>
              <w:start w:w="120" w:type="dxa"/>
              <w:bottom w:w="100" w:type="dxa"/>
              <w:end w:w="120" w:type="dxa"/>
            </w:tcMar>
            <w:vAlign w:val="center"/>
          </w:tcPr>
          <w:p>
            <w:pPr>
              <w:spacing w:after="0"/>
            </w:pPr>
            <w:r>
              <w:rPr>
                <w:b/>
                <w:color w:val="FFFFFF"/>
                <w:sz w:val="16"/>
              </w:rPr>
              <w:t>IT DOES NOT ESTABLISH</w:t>
            </w:r>
          </w:p>
        </w:tc>
      </w:tr>
      <w:tr>
        <w:tc>
          <w:tcPr>
            <w:tcW w:type="dxa" w:w="1944"/>
            <w:vAlign w:val="center"/>
            <w:tcMar>
              <w:top w:w="100" w:type="dxa"/>
              <w:start w:w="120" w:type="dxa"/>
              <w:bottom w:w="100" w:type="dxa"/>
              <w:end w:w="120" w:type="dxa"/>
            </w:tcMar>
            <w:shd w:fill="F2F5F8"/>
          </w:tcPr>
          <w:p>
            <w:pPr>
              <w:spacing w:after="0" w:line="240" w:lineRule="auto"/>
            </w:pPr>
            <w:r>
              <w:rPr>
                <w:color w:val="1C2A38"/>
                <w:sz w:val="17"/>
              </w:rPr>
              <w:t>Deep SVDD</w:t>
            </w:r>
          </w:p>
        </w:tc>
        <w:tc>
          <w:tcPr>
            <w:tcW w:type="dxa" w:w="3816"/>
            <w:vAlign w:val="center"/>
            <w:tcMar>
              <w:top w:w="100" w:type="dxa"/>
              <w:start w:w="120" w:type="dxa"/>
              <w:bottom w:w="100" w:type="dxa"/>
              <w:end w:w="120" w:type="dxa"/>
            </w:tcMar>
            <w:shd w:fill="F2F5F8"/>
          </w:tcPr>
          <w:p>
            <w:pPr>
              <w:spacing w:after="0" w:line="240" w:lineRule="auto"/>
            </w:pPr>
            <w:r>
              <w:rPr>
                <w:color w:val="1C2A38"/>
                <w:sz w:val="17"/>
              </w:rPr>
              <w:t>Did this feature vector cross the anomaly threshold?</w:t>
            </w:r>
          </w:p>
        </w:tc>
        <w:tc>
          <w:tcPr>
            <w:tcW w:type="dxa" w:w="3888"/>
            <w:vAlign w:val="center"/>
            <w:tcMar>
              <w:top w:w="100" w:type="dxa"/>
              <w:start w:w="120" w:type="dxa"/>
              <w:bottom w:w="100" w:type="dxa"/>
              <w:end w:w="120" w:type="dxa"/>
            </w:tcMar>
            <w:shd w:fill="F2F5F8"/>
          </w:tcPr>
          <w:p>
            <w:pPr>
              <w:spacing w:after="0" w:line="240" w:lineRule="auto"/>
            </w:pPr>
            <w:r>
              <w:rPr>
                <w:color w:val="1C2A38"/>
                <w:sz w:val="17"/>
              </w:rPr>
              <w:t>The exact cause or attack name.</w:t>
            </w:r>
          </w:p>
        </w:tc>
      </w:tr>
      <w:tr>
        <w:tc>
          <w:tcPr>
            <w:tcW w:type="dxa" w:w="1944"/>
            <w:vAlign w:val="center"/>
            <w:tcMar>
              <w:top w:w="100" w:type="dxa"/>
              <w:start w:w="120" w:type="dxa"/>
              <w:bottom w:w="100" w:type="dxa"/>
              <w:end w:w="120" w:type="dxa"/>
            </w:tcMar>
          </w:tcPr>
          <w:p>
            <w:pPr>
              <w:spacing w:after="0" w:line="240" w:lineRule="auto"/>
            </w:pPr>
            <w:r>
              <w:rPr>
                <w:color w:val="1C2A38"/>
                <w:sz w:val="17"/>
              </w:rPr>
              <w:t>XAI</w:t>
            </w:r>
          </w:p>
        </w:tc>
        <w:tc>
          <w:tcPr>
            <w:tcW w:type="dxa" w:w="3816"/>
            <w:vAlign w:val="center"/>
            <w:tcMar>
              <w:top w:w="100" w:type="dxa"/>
              <w:start w:w="120" w:type="dxa"/>
              <w:bottom w:w="100" w:type="dxa"/>
              <w:end w:w="120" w:type="dxa"/>
            </w:tcMar>
          </w:tcPr>
          <w:p>
            <w:pPr>
              <w:spacing w:after="0" w:line="240" w:lineRule="auto"/>
            </w:pPr>
            <w:r>
              <w:rPr>
                <w:color w:val="1C2A38"/>
                <w:sz w:val="17"/>
              </w:rPr>
              <w:t>Which input changes affected this model score?</w:t>
            </w:r>
          </w:p>
        </w:tc>
        <w:tc>
          <w:tcPr>
            <w:tcW w:type="dxa" w:w="3888"/>
            <w:vAlign w:val="center"/>
            <w:tcMar>
              <w:top w:w="100" w:type="dxa"/>
              <w:start w:w="120" w:type="dxa"/>
              <w:bottom w:w="100" w:type="dxa"/>
              <w:end w:w="120" w:type="dxa"/>
            </w:tcMar>
          </w:tcPr>
          <w:p>
            <w:pPr>
              <w:spacing w:after="0" w:line="240" w:lineRule="auto"/>
            </w:pPr>
            <w:r>
              <w:rPr>
                <w:color w:val="1C2A38"/>
                <w:sz w:val="17"/>
              </w:rPr>
              <w:t>Causation or proof of malicious intent.</w:t>
            </w:r>
          </w:p>
        </w:tc>
      </w:tr>
      <w:tr>
        <w:tc>
          <w:tcPr>
            <w:tcW w:type="dxa" w:w="1944"/>
            <w:vAlign w:val="center"/>
            <w:tcMar>
              <w:top w:w="100" w:type="dxa"/>
              <w:start w:w="120" w:type="dxa"/>
              <w:bottom w:w="100" w:type="dxa"/>
              <w:end w:w="120" w:type="dxa"/>
            </w:tcMar>
            <w:shd w:fill="F2F5F8"/>
          </w:tcPr>
          <w:p>
            <w:pPr>
              <w:spacing w:after="0" w:line="240" w:lineRule="auto"/>
            </w:pPr>
            <w:r>
              <w:rPr>
                <w:color w:val="1C2A38"/>
                <w:sz w:val="17"/>
              </w:rPr>
              <w:t>ATT&amp;CK</w:t>
            </w:r>
          </w:p>
        </w:tc>
        <w:tc>
          <w:tcPr>
            <w:tcW w:type="dxa" w:w="3816"/>
            <w:vAlign w:val="center"/>
            <w:tcMar>
              <w:top w:w="100" w:type="dxa"/>
              <w:start w:w="120" w:type="dxa"/>
              <w:bottom w:w="100" w:type="dxa"/>
              <w:end w:w="120" w:type="dxa"/>
            </w:tcMar>
            <w:shd w:fill="F2F5F8"/>
          </w:tcPr>
          <w:p>
            <w:pPr>
              <w:spacing w:after="0" w:line="240" w:lineRule="auto"/>
            </w:pPr>
            <w:r>
              <w:rPr>
                <w:color w:val="1C2A38"/>
                <w:sz w:val="17"/>
              </w:rPr>
              <w:t>Which existing technique candidates fit supplied context?</w:t>
            </w:r>
          </w:p>
        </w:tc>
        <w:tc>
          <w:tcPr>
            <w:tcW w:type="dxa" w:w="3888"/>
            <w:vAlign w:val="center"/>
            <w:tcMar>
              <w:top w:w="100" w:type="dxa"/>
              <w:start w:w="120" w:type="dxa"/>
              <w:bottom w:w="100" w:type="dxa"/>
              <w:end w:w="120" w:type="dxa"/>
            </w:tcMar>
            <w:shd w:fill="F2F5F8"/>
          </w:tcPr>
          <w:p>
            <w:pPr>
              <w:spacing w:after="0" w:line="240" w:lineRule="auto"/>
            </w:pPr>
            <w:r>
              <w:rPr>
                <w:color w:val="1C2A38"/>
                <w:sz w:val="17"/>
              </w:rPr>
              <w:t>A technique confirmed by network flow alone.</w:t>
            </w:r>
          </w:p>
        </w:tc>
      </w:tr>
      <w:tr>
        <w:tc>
          <w:tcPr>
            <w:tcW w:type="dxa" w:w="1944"/>
            <w:vAlign w:val="center"/>
            <w:tcMar>
              <w:top w:w="100" w:type="dxa"/>
              <w:start w:w="120" w:type="dxa"/>
              <w:bottom w:w="100" w:type="dxa"/>
              <w:end w:w="120" w:type="dxa"/>
            </w:tcMar>
          </w:tcPr>
          <w:p>
            <w:pPr>
              <w:spacing w:after="0" w:line="240" w:lineRule="auto"/>
            </w:pPr>
            <w:r>
              <w:rPr>
                <w:color w:val="1C2A38"/>
                <w:sz w:val="17"/>
              </w:rPr>
              <w:t>LLM / fallback</w:t>
            </w:r>
          </w:p>
        </w:tc>
        <w:tc>
          <w:tcPr>
            <w:tcW w:type="dxa" w:w="3816"/>
            <w:vAlign w:val="center"/>
            <w:tcMar>
              <w:top w:w="100" w:type="dxa"/>
              <w:start w:w="120" w:type="dxa"/>
              <w:bottom w:w="100" w:type="dxa"/>
              <w:end w:w="120" w:type="dxa"/>
            </w:tcMar>
          </w:tcPr>
          <w:p>
            <w:pPr>
              <w:spacing w:after="0" w:line="240" w:lineRule="auto"/>
            </w:pPr>
            <w:r>
              <w:rPr>
                <w:color w:val="1C2A38"/>
                <w:sz w:val="17"/>
              </w:rPr>
              <w:t>How can the supplied evidence be summarized for an analyst?</w:t>
            </w:r>
          </w:p>
        </w:tc>
        <w:tc>
          <w:tcPr>
            <w:tcW w:type="dxa" w:w="3888"/>
            <w:vAlign w:val="center"/>
            <w:tcMar>
              <w:top w:w="100" w:type="dxa"/>
              <w:start w:w="120" w:type="dxa"/>
              <w:bottom w:w="100" w:type="dxa"/>
              <w:end w:w="120" w:type="dxa"/>
            </w:tcMar>
          </w:tcPr>
          <w:p>
            <w:pPr>
              <w:spacing w:after="0" w:line="240" w:lineRule="auto"/>
            </w:pPr>
            <w:r>
              <w:rPr>
                <w:color w:val="1C2A38"/>
                <w:sz w:val="17"/>
              </w:rPr>
              <w:t>A new detection or evidence not present in the request.</w:t>
            </w:r>
          </w:p>
        </w:tc>
      </w:tr>
    </w:tbl>
    <w:p>
      <w:pPr>
        <w:spacing w:after="0"/>
      </w:pPr>
    </w:p>
    <w:p>
      <w:r>
        <w:br w:type="page"/>
      </w:r>
    </w:p>
    <w:p>
      <w:pPr>
        <w:pStyle w:val="Heading1"/>
      </w:pPr>
      <w:r>
        <w:t>Evaluator questions and answers</w:t>
      </w:r>
    </w:p>
    <w:p>
      <w:pPr>
        <w:spacing w:before="80" w:after="20"/>
      </w:pPr>
      <w:r>
        <w:rPr>
          <w:b/>
          <w:color w:val="12253A"/>
          <w:sz w:val="20"/>
        </w:rPr>
        <w:t>Why use Deep SVDD?</w:t>
      </w:r>
    </w:p>
    <w:p>
      <w:pPr>
        <w:spacing w:after="80"/>
        <w:ind w:left="230"/>
      </w:pPr>
      <w:r>
        <w:rPr>
          <w:sz w:val="19"/>
        </w:rPr>
        <w:t>It is the project’s finalized benign-only detector. It learns a representation of benign traffic and flags flows whose latent distance from the learned center crosses the frozen threshold.</w:t>
      </w:r>
    </w:p>
    <w:p>
      <w:pPr>
        <w:spacing w:before="80" w:after="20"/>
      </w:pPr>
      <w:r>
        <w:rPr>
          <w:b/>
          <w:color w:val="12253A"/>
          <w:sz w:val="20"/>
        </w:rPr>
        <w:t>Why not show anomaly probability?</w:t>
      </w:r>
    </w:p>
    <w:p>
      <w:pPr>
        <w:spacing w:after="80"/>
        <w:ind w:left="230"/>
      </w:pPr>
      <w:r>
        <w:rPr>
          <w:sz w:val="19"/>
        </w:rPr>
        <w:t>The checkpoint returns a distance score and a threshold decision. It does not calibrate that distance as a probability.</w:t>
      </w:r>
    </w:p>
    <w:p>
      <w:pPr>
        <w:spacing w:before="80" w:after="20"/>
      </w:pPr>
      <w:r>
        <w:rPr>
          <w:b/>
          <w:color w:val="12253A"/>
          <w:sz w:val="20"/>
        </w:rPr>
        <w:t>Is the explanation SHAP?</w:t>
      </w:r>
    </w:p>
    <w:p>
      <w:pPr>
        <w:spacing w:after="80"/>
        <w:ind w:left="230"/>
      </w:pPr>
      <w:r>
        <w:rPr>
          <w:sz w:val="19"/>
        </w:rPr>
        <w:t>No. It is feature perturbation/occlusion: one feature is replaced with the neutral zero baseline and the score is recalculated.</w:t>
      </w:r>
    </w:p>
    <w:p>
      <w:pPr>
        <w:spacing w:before="80" w:after="20"/>
      </w:pPr>
      <w:r>
        <w:rPr>
          <w:b/>
          <w:color w:val="12253A"/>
          <w:sz w:val="20"/>
        </w:rPr>
        <w:t>Does a high contribution prove the attack type?</w:t>
      </w:r>
    </w:p>
    <w:p>
      <w:pPr>
        <w:spacing w:after="80"/>
        <w:ind w:left="230"/>
      </w:pPr>
      <w:r>
        <w:rPr>
          <w:sz w:val="19"/>
        </w:rPr>
        <w:t>No. It means perturbing that feature changed the model score in a particular direction. It is model-specific evidence, not proof of an attack.</w:t>
      </w:r>
    </w:p>
    <w:p>
      <w:pPr>
        <w:spacing w:before="80" w:after="20"/>
      </w:pPr>
      <w:r>
        <w:rPr>
          <w:b/>
          <w:color w:val="12253A"/>
          <w:sz w:val="20"/>
        </w:rPr>
        <w:t>How does MITRE mapping work?</w:t>
      </w:r>
    </w:p>
    <w:p>
      <w:pPr>
        <w:spacing w:after="80"/>
        <w:ind w:left="230"/>
      </w:pPr>
      <w:r>
        <w:rPr>
          <w:sz w:val="19"/>
        </w:rPr>
        <w:t>The project’s fixed mapping associates known dataset categories with qualified ATT&amp;CK candidates. The mapping adds context after detection; it does not detect.</w:t>
      </w:r>
    </w:p>
    <w:p>
      <w:pPr>
        <w:spacing w:before="80" w:after="20"/>
      </w:pPr>
      <w:r>
        <w:rPr>
          <w:b/>
          <w:color w:val="12253A"/>
          <w:sz w:val="20"/>
        </w:rPr>
        <w:t>What does the LLM contribute?</w:t>
      </w:r>
    </w:p>
    <w:p>
      <w:pPr>
        <w:spacing w:after="80"/>
        <w:ind w:left="230"/>
      </w:pPr>
      <w:r>
        <w:rPr>
          <w:sz w:val="19"/>
        </w:rPr>
        <w:t>It summarizes structured detector, XAI, and mapping evidence for an analyst. It cannot change the Deep SVDD decision. Without a key, the explicitly labeled demo fallback is used.</w:t>
      </w:r>
    </w:p>
    <w:p>
      <w:pPr>
        <w:spacing w:before="80" w:after="20"/>
      </w:pPr>
      <w:r>
        <w:rPr>
          <w:b/>
          <w:color w:val="12253A"/>
          <w:sz w:val="20"/>
        </w:rPr>
        <w:t>Can the dashboard analyze raw traffic?</w:t>
      </w:r>
    </w:p>
    <w:p>
      <w:pPr>
        <w:spacing w:after="80"/>
        <w:ind w:left="230"/>
      </w:pPr>
      <w:r>
        <w:rPr>
          <w:sz w:val="19"/>
        </w:rPr>
        <w:t>It accepts one engineered 43-feature row. The existing project CSVs are already standardized; the repository did not contain a separate scaler artifact for raw input.</w:t>
      </w:r>
    </w:p>
    <w:p>
      <w:pPr>
        <w:spacing w:before="80" w:after="20"/>
      </w:pPr>
      <w:r>
        <w:rPr>
          <w:b/>
          <w:color w:val="12253A"/>
          <w:sz w:val="20"/>
        </w:rPr>
        <w:t>What are the main limitations?</w:t>
      </w:r>
    </w:p>
    <w:p>
      <w:pPr>
        <w:spacing w:after="80"/>
        <w:ind w:left="230"/>
      </w:pPr>
      <w:r>
        <w:rPr>
          <w:sz w:val="19"/>
        </w:rPr>
        <w:t>Flow features may not establish application or host behavior; the mapping can require endpoint evidence; the sample cache is illustrative, not a dataset-wide evaluation; and the fallback is not a real LLM.</w:t>
      </w:r>
    </w:p>
    <w:p>
      <w:pPr>
        <w:pStyle w:val="Heading2"/>
      </w:pPr>
      <w:r>
        <w:t>Closing statement</w:t>
      </w:r>
    </w:p>
    <w:tbl>
      <w:tblPr>
        <w:tblW w:type="auto" w:w="0"/>
        <w:jc w:val="center"/>
        <w:tblLook w:firstColumn="1" w:firstRow="1" w:lastColumn="0" w:lastRow="0" w:noHBand="0" w:noVBand="1" w:val="04A0"/>
      </w:tblPr>
      <w:tblGrid>
        <w:gridCol w:w="10080"/>
      </w:tblGrid>
      <w:tr>
        <w:tc>
          <w:tcPr>
            <w:tcW w:type="dxa" w:w="10080"/>
            <w:shd w:fill="EAF4F4"/>
            <w:tcMar>
              <w:top w:w="140" w:type="dxa"/>
              <w:start w:w="190" w:type="dxa"/>
              <w:bottom w:w="140" w:type="dxa"/>
              <w:end w:w="190" w:type="dxa"/>
            </w:tcMar>
          </w:tcPr>
          <w:p>
            <w:pPr>
              <w:spacing w:after="60"/>
            </w:pPr>
            <w:r>
              <w:rPr>
                <w:b/>
                <w:color w:val="087E80"/>
                <w:sz w:val="16"/>
              </w:rPr>
              <w:t>A CONCISE CONCLUSION</w:t>
            </w:r>
          </w:p>
          <w:p>
            <w:pPr>
              <w:spacing w:after="0" w:line="259" w:lineRule="auto"/>
            </w:pPr>
            <w:r>
              <w:rPr>
                <w:color w:val="1C2A38"/>
                <w:sz w:val="20"/>
              </w:rPr>
              <w:t>“ZeroShield combines one-class detection with local feature explanation and qualified ATT&amp;CK context. The dashboard makes the project pipeline visible while keeping the model decision, explanation, context, and language-model reasoning distinct.”</w:t>
            </w:r>
          </w:p>
        </w:tc>
      </w:tr>
    </w:tbl>
    <w:p>
      <w:pPr>
        <w:spacing w:after="0"/>
      </w:pPr>
    </w:p>
    <w:p>
      <w:pPr>
        <w:pStyle w:val="Heading2"/>
      </w:pPr>
      <w:r>
        <w:t>Final presenter checklist</w:t>
      </w:r>
    </w:p>
    <w:p>
      <w:pPr>
        <w:pStyle w:val="ListBullet"/>
        <w:spacing w:after="40"/>
      </w:pPr>
      <w:r>
        <w:t>[ ]  Backend health is OK and the model-loaded status is true.</w:t>
      </w:r>
    </w:p>
    <w:p>
      <w:pPr>
        <w:pStyle w:val="ListBullet"/>
        <w:spacing w:after="40"/>
      </w:pPr>
      <w:r>
        <w:t>[ ]  The exact sample and its context are clear to the audience.</w:t>
      </w:r>
    </w:p>
    <w:p>
      <w:pPr>
        <w:pStyle w:val="ListBullet"/>
        <w:spacing w:after="40"/>
      </w:pPr>
      <w:r>
        <w:t>[ ]  You can explain score ≥ threshold without calling it a probability.</w:t>
      </w:r>
    </w:p>
    <w:p>
      <w:pPr>
        <w:pStyle w:val="ListBullet"/>
        <w:spacing w:after="40"/>
      </w:pPr>
      <w:r>
        <w:t>[ ]  You distinguish model evidence from technique interpretation.</w:t>
      </w:r>
    </w:p>
    <w:p>
      <w:pPr>
        <w:pStyle w:val="ListBullet"/>
        <w:spacing w:after="40"/>
      </w:pPr>
      <w:r>
        <w:t>[ ]  You identify fallback reasoning honestly if no API key is configured.</w:t>
      </w:r>
    </w:p>
    <w:sectPr w:rsidR="00FC693F" w:rsidRPr="0006063C" w:rsidSect="00034616">
      <w:headerReference w:type="default" r:id="rId9"/>
      <w:footerReference w:type="default" r:id="rId10"/>
      <w:pgSz w:w="12240" w:h="15840"/>
      <w:pgMar w:top="979" w:right="1080" w:bottom="893" w:left="1080"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7080"/>
        <w:sz w:val="16"/>
      </w:rPr>
      <w:t xml:space="preserve">FINAL YEAR PROJECT DEMONSTRATION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F7080"/>
        <w:sz w:val="16"/>
      </w:rPr>
      <w:t>ZEROSHIELD AI     /     PRESENTER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C2A3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2253A"/>
      <w:sz w:val="3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087E8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2253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ascii="Aptos Display" w:hAnsi="Aptos Display"/>
      <w:b/>
      <w:color w:val="12253A"/>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ZeroShield AI Dashboard Presentation Guide</dc:title>
  <dc:subject>Evaluator walkthrough and team presenter notes</dc:subject>
  <dc:creator>ZeroShield AI Project Team</dc:creator>
  <cp:keywords>ZeroShield AI, Deep SVDD, XAI, MITRE ATT&amp;CK, SOC dashboard</cp:keywords>
  <dc:description>generated by python-docx</dc:description>
  <cp:lastModifiedBy/>
  <cp:revision>1</cp:revision>
  <dcterms:created xsi:type="dcterms:W3CDTF">2013-12-23T23:15:00Z</dcterms:created>
  <dcterms:modified xsi:type="dcterms:W3CDTF">2013-12-23T23:15:00Z</dcterms:modified>
  <cp:category/>
</cp:coreProperties>
</file>