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02A43"/>
          <w:sz w:val="56"/>
        </w:rPr>
        <w:br/>
        <w:br/>
        <w:br/>
        <w:t>Comprehensive Advertising Sales Analysis using Multiple Linear Regression</w:t>
        <w:br/>
        <w:br/>
      </w:r>
    </w:p>
    <w:p>
      <w:pPr>
        <w:jc w:val="center"/>
      </w:pPr>
      <w:r>
        <w:rPr>
          <w:color w:val="486581"/>
          <w:sz w:val="28"/>
        </w:rPr>
        <w:t>MDSA Final Project Dissertation</w:t>
        <w:br/>
        <w:br/>
        <w:br/>
        <w:br/>
        <w:br/>
        <w:br/>
        <w:t>[University Logo Placeholder]</w:t>
        <w:br/>
        <w:br/>
        <w:br/>
        <w:br/>
        <w:br/>
      </w:r>
    </w:p>
    <w:p>
      <w:pPr>
        <w:jc w:val="center"/>
      </w:pPr>
      <w:r>
        <w:rPr>
          <w:color w:val="222222"/>
          <w:sz w:val="24"/>
        </w:rPr>
        <w:t>Student Name: Sasha</w:t>
        <w:br/>
        <w:t>Registration Number: MDSA-2026-89</w:t>
        <w:br/>
        <w:t>Supervisor: Dr. Antigravity</w:t>
        <w:br/>
        <w:t>Department: Department of Mathematics &amp; Data Science</w:t>
        <w:br/>
        <w:t>Academic Year: 2025 - 2026</w:t>
      </w:r>
    </w:p>
    <w:p>
      <w:r>
        <w:br w:type="page"/>
      </w:r>
    </w:p>
    <w:p>
      <w:pPr>
        <w:spacing w:after="480"/>
      </w:pPr>
      <w:r>
        <w:rPr>
          <w:rFonts w:ascii="Arial" w:hAnsi="Arial"/>
          <w:b/>
          <w:color w:val="102A43"/>
          <w:sz w:val="44"/>
        </w:rPr>
        <w:t>Table of Contents</w:t>
      </w:r>
    </w:p>
    <w:p>
      <w:pPr>
        <w:spacing w:after="80"/>
      </w:pPr>
      <w:r>
        <w:rPr>
          <w:color w:val="334E68"/>
          <w:sz w:val="22"/>
        </w:rPr>
        <w:t>Declaration &amp; Certificate of Approval</w:t>
      </w:r>
    </w:p>
    <w:p>
      <w:pPr>
        <w:spacing w:after="80"/>
      </w:pPr>
      <w:r>
        <w:rPr>
          <w:color w:val="334E68"/>
          <w:sz w:val="22"/>
        </w:rPr>
        <w:t>Abstract</w:t>
      </w:r>
    </w:p>
    <w:p>
      <w:pPr>
        <w:spacing w:after="80"/>
      </w:pPr>
      <w:r>
        <w:rPr>
          <w:color w:val="334E68"/>
          <w:sz w:val="22"/>
        </w:rPr>
        <w:t>1. Introduction</w:t>
      </w:r>
    </w:p>
    <w:p>
      <w:pPr>
        <w:spacing w:after="80"/>
      </w:pPr>
      <w:r>
        <w:rPr>
          <w:color w:val="334E68"/>
          <w:sz w:val="22"/>
        </w:rPr>
        <w:t>2. Data Cleaning and Preprocessing (M1)</w:t>
      </w:r>
    </w:p>
    <w:p>
      <w:pPr>
        <w:spacing w:after="80"/>
      </w:pPr>
      <w:r>
        <w:rPr>
          <w:color w:val="334E68"/>
          <w:sz w:val="22"/>
        </w:rPr>
        <w:t>3. Exploratory Data Analysis (M2)</w:t>
      </w:r>
    </w:p>
    <w:p>
      <w:pPr>
        <w:spacing w:after="80"/>
      </w:pPr>
      <w:r>
        <w:rPr>
          <w:color w:val="334E68"/>
          <w:sz w:val="22"/>
        </w:rPr>
        <w:t>4. Probability Analysis (M3)</w:t>
      </w:r>
    </w:p>
    <w:p>
      <w:pPr>
        <w:spacing w:after="80"/>
      </w:pPr>
      <w:r>
        <w:rPr>
          <w:color w:val="334E68"/>
          <w:sz w:val="22"/>
        </w:rPr>
        <w:t>5. Statistical Inference (M4)</w:t>
      </w:r>
    </w:p>
    <w:p>
      <w:pPr>
        <w:spacing w:after="80"/>
      </w:pPr>
      <w:r>
        <w:rPr>
          <w:color w:val="334E68"/>
          <w:sz w:val="22"/>
        </w:rPr>
        <w:t>6. Multiple Linear Regression Model (M5)</w:t>
      </w:r>
    </w:p>
    <w:p>
      <w:pPr>
        <w:spacing w:after="80"/>
      </w:pPr>
      <w:r>
        <w:rPr>
          <w:color w:val="334E68"/>
          <w:sz w:val="22"/>
        </w:rPr>
        <w:t>7. Module 6 - Artificial Neural Network (Extension)</w:t>
      </w:r>
    </w:p>
    <w:p>
      <w:pPr>
        <w:spacing w:after="80"/>
      </w:pPr>
      <w:r>
        <w:rPr>
          <w:color w:val="334E68"/>
          <w:sz w:val="22"/>
        </w:rPr>
        <w:t>8. Managerial Recommendations</w:t>
      </w:r>
    </w:p>
    <w:p>
      <w:pPr>
        <w:spacing w:after="80"/>
      </w:pPr>
      <w:r>
        <w:rPr>
          <w:color w:val="334E68"/>
          <w:sz w:val="22"/>
        </w:rPr>
        <w:t>9. Conclusion &amp; Future Work</w:t>
      </w:r>
    </w:p>
    <w:p>
      <w:pPr>
        <w:spacing w:after="80"/>
      </w:pPr>
      <w:r>
        <w:rPr>
          <w:color w:val="334E68"/>
          <w:sz w:val="22"/>
        </w:rPr>
        <w:t>10. References</w:t>
      </w:r>
    </w:p>
    <w:p>
      <w:r>
        <w:br w:type="page"/>
      </w:r>
    </w:p>
    <w:p>
      <w:r>
        <w:rPr>
          <w:rFonts w:ascii="Arial" w:hAnsi="Arial"/>
          <w:b/>
          <w:color w:val="102A43"/>
          <w:sz w:val="44"/>
        </w:rPr>
        <w:t>Abstract</w:t>
      </w:r>
    </w:p>
    <w:p>
      <w:pPr>
        <w:spacing w:line="360" w:lineRule="auto" w:after="240"/>
      </w:pPr>
      <w:r>
        <w:t>In the modern, data-driven business landscape, optimizing marketing expenditure across diverse advertising channels is a critical determinant of commercial success. This project presents a rigorous mathematical and statistical analysis of advertising expenditure and its corresponding impact on sales revenue, utilizing a dataset representing promotional investments across three primary media: Television (TV), Radio, and Newspaper.</w:t>
        <w:br/>
        <w:br/>
        <w:t>The analysis is structured around the five core modules of the MDSA curriculum: data preprocessing (M1), exploratory data analysis (M2), probability analysis (M3), statistical inference (M4), multiple linear regression modeling (M5), and artificial neural network extensions (M6). The empirical findings show that Television advertising acts as the primary driver of sales, complemented significantly by Radio, while Newspaper promotional spend shows a statistically negligible direct impact.</w:t>
      </w:r>
    </w:p>
    <w:p>
      <w:r>
        <w:br w:type="page"/>
      </w:r>
    </w:p>
    <w:p>
      <w:r>
        <w:rPr>
          <w:rFonts w:ascii="Arial" w:hAnsi="Arial"/>
          <w:b/>
          <w:color w:val="102A43"/>
          <w:sz w:val="44"/>
        </w:rPr>
        <w:t>1. Introduction</w:t>
      </w:r>
    </w:p>
    <w:p>
      <w:pPr>
        <w:spacing w:line="360" w:lineRule="auto" w:after="240"/>
      </w:pPr>
      <w:r>
        <w:t>Marketing mix modeling (MMM) is an established analytical tool used by companies to estimate the impact of various marketing inputs on overall sales. In modern commercial structures, businesses deploy advertisements across offline channels (Television), voice channels (Radio), and traditional print media (Newspaper) to capture consumer attention. The challenge lies in quantifying the distinct and interactive contributions of each channel to optimize investment.</w:t>
      </w:r>
    </w:p>
    <w:p>
      <w:r>
        <w:br w:type="page"/>
      </w:r>
    </w:p>
    <w:p>
      <w:r>
        <w:rPr>
          <w:rFonts w:ascii="Arial" w:hAnsi="Arial"/>
          <w:b/>
          <w:color w:val="102A43"/>
          <w:sz w:val="44"/>
        </w:rPr>
        <w:t>2. Data Cleaning and Preprocessing (M1)</w:t>
      </w:r>
    </w:p>
    <w:p>
      <w:pPr>
        <w:spacing w:line="360" w:lineRule="auto" w:after="240"/>
      </w:pPr>
      <w:r>
        <w:t>Initial data cleaning was executed to guarantee statistical validation. Verification checks showed zero missing values and zero duplicate rows across the 200 records in the dataset. Outlier verification using the standard Interquartile Range (IQR) method revealed two strategic regional high-spend campaigns within print Newspaper advertisements (index 16 and 101). These data points were retained in the analysis as they represent valid high-spend print marketing strategies.</w:t>
      </w:r>
    </w:p>
    <w:p>
      <w:r>
        <w:br w:type="page"/>
      </w:r>
    </w:p>
    <w:p>
      <w:r>
        <w:rPr>
          <w:rFonts w:ascii="Arial" w:hAnsi="Arial"/>
          <w:b/>
          <w:color w:val="102A43"/>
          <w:sz w:val="44"/>
        </w:rPr>
        <w:t>3. Exploratory Data Analysis (M2)</w:t>
      </w:r>
    </w:p>
    <w:p>
      <w:r>
        <w:rPr>
          <w:b/>
          <w:color w:val="243E56"/>
          <w:sz w:val="24"/>
        </w:rPr>
        <w:t>Table 3.1: Pearson Correlation Matrix</w:t>
      </w:r>
    </w:p>
    <w:tbl>
      <w:tblPr>
        <w:tblStyle w:val="LightShading-Accent1"/>
        <w:tblW w:type="auto" w:w="0"/>
        <w:tblLook w:firstColumn="1" w:firstRow="1" w:lastColumn="0" w:lastRow="0" w:noHBand="0" w:noVBand="1" w:val="04A0"/>
      </w:tblPr>
      <w:tblGrid>
        <w:gridCol w:w="2257"/>
        <w:gridCol w:w="2257"/>
        <w:gridCol w:w="2257"/>
        <w:gridCol w:w="2257"/>
      </w:tblGrid>
      <w:tr>
        <w:tc>
          <w:tcPr>
            <w:tcW w:type="dxa" w:w="2257"/>
            <w:shd w:val="clear" w:color="auto" w:fill="102A43"/>
          </w:tcPr>
          <w:p>
            <w:r>
              <w:rPr>
                <w:b/>
                <w:color w:val="FFFFFF"/>
              </w:rPr>
              <w:t>Feature</w:t>
            </w:r>
          </w:p>
        </w:tc>
        <w:tc>
          <w:tcPr>
            <w:tcW w:type="dxa" w:w="2257"/>
            <w:shd w:val="clear" w:color="auto" w:fill="102A43"/>
          </w:tcPr>
          <w:p>
            <w:r>
              <w:rPr>
                <w:b/>
                <w:color w:val="FFFFFF"/>
              </w:rPr>
              <w:t>TV</w:t>
            </w:r>
          </w:p>
        </w:tc>
        <w:tc>
          <w:tcPr>
            <w:tcW w:type="dxa" w:w="2257"/>
            <w:shd w:val="clear" w:color="auto" w:fill="102A43"/>
          </w:tcPr>
          <w:p>
            <w:r>
              <w:rPr>
                <w:b/>
                <w:color w:val="FFFFFF"/>
              </w:rPr>
              <w:t>Radio</w:t>
            </w:r>
          </w:p>
        </w:tc>
        <w:tc>
          <w:tcPr>
            <w:tcW w:type="dxa" w:w="2257"/>
            <w:shd w:val="clear" w:color="auto" w:fill="102A43"/>
          </w:tcPr>
          <w:p>
            <w:r>
              <w:rPr>
                <w:b/>
                <w:color w:val="FFFFFF"/>
              </w:rPr>
              <w:t>Newspaper</w:t>
            </w:r>
          </w:p>
        </w:tc>
      </w:tr>
      <w:tr>
        <w:tc>
          <w:tcPr>
            <w:tcW w:type="dxa" w:w="2257"/>
            <w:shd w:val="clear" w:color="auto" w:fill="F0F4F8"/>
          </w:tcPr>
          <w:p>
            <w:r>
              <w:t>TV</w:t>
            </w:r>
          </w:p>
        </w:tc>
        <w:tc>
          <w:tcPr>
            <w:tcW w:type="dxa" w:w="2257"/>
            <w:shd w:val="clear" w:color="auto" w:fill="F0F4F8"/>
          </w:tcPr>
          <w:p>
            <w:r>
              <w:t>1.0000</w:t>
            </w:r>
          </w:p>
        </w:tc>
        <w:tc>
          <w:tcPr>
            <w:tcW w:type="dxa" w:w="2257"/>
            <w:shd w:val="clear" w:color="auto" w:fill="F0F4F8"/>
          </w:tcPr>
          <w:p>
            <w:r>
              <w:t>0.0548</w:t>
            </w:r>
          </w:p>
        </w:tc>
        <w:tc>
          <w:tcPr>
            <w:tcW w:type="dxa" w:w="2257"/>
            <w:shd w:val="clear" w:color="auto" w:fill="F0F4F8"/>
          </w:tcPr>
          <w:p>
            <w:r>
              <w:t>0.0566</w:t>
            </w:r>
          </w:p>
        </w:tc>
      </w:tr>
      <w:tr>
        <w:tc>
          <w:tcPr>
            <w:tcW w:type="dxa" w:w="2257"/>
          </w:tcPr>
          <w:p>
            <w:r>
              <w:t>Radio</w:t>
            </w:r>
          </w:p>
        </w:tc>
        <w:tc>
          <w:tcPr>
            <w:tcW w:type="dxa" w:w="2257"/>
          </w:tcPr>
          <w:p>
            <w:r>
              <w:t>0.0548</w:t>
            </w:r>
          </w:p>
        </w:tc>
        <w:tc>
          <w:tcPr>
            <w:tcW w:type="dxa" w:w="2257"/>
          </w:tcPr>
          <w:p>
            <w:r>
              <w:t>1.0000</w:t>
            </w:r>
          </w:p>
        </w:tc>
        <w:tc>
          <w:tcPr>
            <w:tcW w:type="dxa" w:w="2257"/>
          </w:tcPr>
          <w:p>
            <w:r>
              <w:t>0.3541</w:t>
            </w:r>
          </w:p>
        </w:tc>
      </w:tr>
      <w:tr>
        <w:tc>
          <w:tcPr>
            <w:tcW w:type="dxa" w:w="2257"/>
            <w:shd w:val="clear" w:color="auto" w:fill="F0F4F8"/>
          </w:tcPr>
          <w:p>
            <w:r>
              <w:t>Newspaper</w:t>
            </w:r>
          </w:p>
        </w:tc>
        <w:tc>
          <w:tcPr>
            <w:tcW w:type="dxa" w:w="2257"/>
            <w:shd w:val="clear" w:color="auto" w:fill="F0F4F8"/>
          </w:tcPr>
          <w:p>
            <w:r>
              <w:t>0.0566</w:t>
            </w:r>
          </w:p>
        </w:tc>
        <w:tc>
          <w:tcPr>
            <w:tcW w:type="dxa" w:w="2257"/>
            <w:shd w:val="clear" w:color="auto" w:fill="F0F4F8"/>
          </w:tcPr>
          <w:p>
            <w:r>
              <w:t>0.3541</w:t>
            </w:r>
          </w:p>
        </w:tc>
        <w:tc>
          <w:tcPr>
            <w:tcW w:type="dxa" w:w="2257"/>
            <w:shd w:val="clear" w:color="auto" w:fill="F0F4F8"/>
          </w:tcPr>
          <w:p>
            <w:r>
              <w:t>1.0000</w:t>
            </w:r>
          </w:p>
        </w:tc>
      </w:tr>
    </w:tbl>
    <w:p>
      <w:r>
        <w:br w:type="page"/>
      </w:r>
    </w:p>
    <w:p>
      <w:r>
        <w:rPr>
          <w:rFonts w:ascii="Arial" w:hAnsi="Arial"/>
          <w:b/>
          <w:color w:val="102A43"/>
          <w:sz w:val="44"/>
        </w:rPr>
        <w:t>4. Multiple Linear Regression Model (M5)</w:t>
      </w:r>
    </w:p>
    <w:p>
      <w:pPr>
        <w:spacing w:line="360" w:lineRule="auto" w:after="240"/>
      </w:pPr>
      <w:r>
        <w:t>Using ordinary least squares (OLS) regression estimation, we formulate the dynamic prediction model: Sales = 4.7141 + 0.0545 * TV + 0.1009 * Radio + 0.0043 * Newspaper. The model indicates a high coefficient of determination (R2 = 0.9059), verifying that approximately 90.59% of variance in sales volume is explained by advertising spends on TV, Radio, and Newspaper channels.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