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02A43"/>
          <w:sz w:val="56"/>
        </w:rPr>
        <w:br/>
        <w:br/>
        <w:br/>
        <w:t>Comprehensive Advertising Sales Analysis Using Multiple Linear Regression and Artificial Neural Networks</w:t>
        <w:br/>
        <w:br/>
      </w:r>
    </w:p>
    <w:p>
      <w:pPr>
        <w:jc w:val="center"/>
      </w:pPr>
      <w:r>
        <w:rPr>
          <w:color w:val="486581"/>
          <w:sz w:val="24"/>
        </w:rPr>
        <w:t>A Capstone Dissertation submitted in partial fulfillment of the requirements for the degree of</w:t>
        <w:br/>
        <w:t>Master of Data Science &amp; Analytics</w:t>
        <w:br/>
        <w:br/>
        <w:br/>
        <w:br/>
        <w:br/>
        <w:t>[University Department Logo]</w:t>
        <w:br/>
        <w:br/>
        <w:br/>
        <w:br/>
      </w:r>
    </w:p>
    <w:p>
      <w:pPr>
        <w:jc w:val="center"/>
      </w:pPr>
      <w:r>
        <w:rPr>
          <w:sz w:val="24"/>
        </w:rPr>
        <w:t>Submitted by: Sasha (Reg. No. MDSA-2026-89)</w:t>
        <w:br/>
        <w:t>Supervisor: Dr. Antigravity</w:t>
        <w:br/>
        <w:t>Department of Data Science</w:t>
        <w:br/>
        <w:t>Academic Year: 2025 - 2026</w:t>
      </w:r>
    </w:p>
    <w:p>
      <w:r>
        <w:br w:type="page"/>
      </w:r>
    </w:p>
    <w:p>
      <w:pPr>
        <w:spacing w:before="480" w:after="480"/>
      </w:pPr>
      <w:r>
        <w:rPr>
          <w:rFonts w:ascii="Arial" w:hAnsi="Arial"/>
          <w:b/>
          <w:color w:val="102A43"/>
          <w:sz w:val="44"/>
        </w:rPr>
        <w:t>Chapter 1</w:t>
        <w:br/>
        <w:t>Introduction</w:t>
      </w:r>
    </w:p>
    <w:p>
      <w:pPr>
        <w:spacing w:before="360" w:after="160"/>
      </w:pPr>
      <w:r>
        <w:rPr>
          <w:rFonts w:ascii="Arial" w:hAnsi="Arial"/>
          <w:b/>
          <w:color w:val="243E56"/>
          <w:sz w:val="32"/>
        </w:rPr>
        <w:t>1.1 Background of the Study</w:t>
      </w:r>
    </w:p>
    <w:p>
      <w:pPr>
        <w:spacing w:line="360" w:lineRule="auto" w:after="240"/>
      </w:pPr>
      <w:r>
        <w:t>Advertising and marketing analytics form the cornerstone of modern corporate decision-making. In contemporary business environments, advertising capital is distributed across multiple channels including Television, Radio, and print Newspapers to reach target customer segments. Historically, companies relied on heuristic budgets or intuitive strategies to optimize their capital allocation. However, with the rapid digitization of consumer feedback loop systems, data science algorithms are increasingly leveraged to model statistical ROI patterns and forecast top-line revenue outcomes.</w:t>
      </w:r>
    </w:p>
    <w:p>
      <w:pPr>
        <w:spacing w:before="360" w:after="160"/>
      </w:pPr>
      <w:r>
        <w:rPr>
          <w:rFonts w:ascii="Arial" w:hAnsi="Arial"/>
          <w:b/>
          <w:color w:val="243E56"/>
          <w:sz w:val="32"/>
        </w:rPr>
        <w:t>1.2 Purpose &amp; Objectives</w:t>
      </w:r>
    </w:p>
    <w:p>
      <w:pPr>
        <w:spacing w:line="360" w:lineRule="auto" w:after="240"/>
      </w:pPr>
      <w:r>
        <w:t>This project models marketing returns using two approaches: standard Multiple Linear Regression and a Feedforward Artificial Neural Network. Our primary goals include dataset cleaning, identifying correlation patterns, verifying statistical significance via t-tests and ANOVA, formulating the OLS equation, and comparing performance metrics against the multi-layer neural network model.</w:t>
      </w:r>
    </w:p>
    <w:p>
      <w:r>
        <w:br w:type="page"/>
      </w:r>
    </w:p>
    <w:p>
      <w:pPr>
        <w:spacing w:before="480" w:after="480"/>
      </w:pPr>
      <w:r>
        <w:rPr>
          <w:rFonts w:ascii="Arial" w:hAnsi="Arial"/>
          <w:b/>
          <w:color w:val="102A43"/>
          <w:sz w:val="44"/>
        </w:rPr>
        <w:t>Chapter 2</w:t>
        <w:br/>
        <w:t>Data Cleaning &amp; Preprocessing</w:t>
      </w:r>
    </w:p>
    <w:p>
      <w:pPr>
        <w:spacing w:before="360" w:after="160"/>
      </w:pPr>
      <w:r>
        <w:rPr>
          <w:rFonts w:ascii="Arial" w:hAnsi="Arial"/>
          <w:b/>
          <w:color w:val="243E56"/>
          <w:sz w:val="32"/>
        </w:rPr>
        <w:t>2.1 Data Ingestion and Properties</w:t>
      </w:r>
    </w:p>
    <w:p>
      <w:pPr>
        <w:spacing w:line="360" w:lineRule="auto" w:after="240"/>
      </w:pPr>
      <w:r>
        <w:t>The Advertising dataset contains 200 markets (observations) with zero null values and zero duplicate entries. Each record tracks promotional investments (in thousands of dollars) across TV, Radio, and Newspaper, alongside top-line Sales volume. Feature spans are inspected using standard moments.</w:t>
      </w:r>
    </w:p>
    <w:p>
      <w:pPr>
        <w:spacing w:before="360" w:after="160"/>
      </w:pPr>
      <w:r>
        <w:rPr>
          <w:rFonts w:ascii="Arial" w:hAnsi="Arial"/>
          <w:b/>
          <w:color w:val="243E56"/>
          <w:sz w:val="32"/>
        </w:rPr>
        <w:t>2.2 Outlier Detection Metrics</w:t>
      </w:r>
    </w:p>
    <w:p>
      <w:pPr>
        <w:spacing w:line="360" w:lineRule="auto" w:after="240"/>
      </w:pPr>
      <w:r>
        <w:t>We identify outliers using two standard mathematical frameworks: Z-scores and Interquartile Ranges (IQR). The IQR method flags 2 print Newspaper regional spending values ($89.4k and $114.0k) as statistical outliers. Since these represent actual premium regional campaigns rather than data entry anomalies, they are retained to ensure the regression model is robust to high-spend scenarios.</w:t>
      </w:r>
    </w:p>
    <w:p>
      <w:r>
        <w:br w:type="page"/>
      </w:r>
    </w:p>
    <w:p>
      <w:pPr>
        <w:spacing w:before="480" w:after="480"/>
      </w:pPr>
      <w:r>
        <w:rPr>
          <w:rFonts w:ascii="Arial" w:hAnsi="Arial"/>
          <w:b/>
          <w:color w:val="102A43"/>
          <w:sz w:val="44"/>
        </w:rPr>
        <w:t>Chapter 3</w:t>
        <w:br/>
        <w:t>Exploratory Data Analysis</w:t>
      </w:r>
    </w:p>
    <w:p>
      <w:pPr>
        <w:spacing w:before="360" w:after="160"/>
      </w:pPr>
      <w:r>
        <w:rPr>
          <w:rFonts w:ascii="Arial" w:hAnsi="Arial"/>
          <w:b/>
          <w:color w:val="243E56"/>
          <w:sz w:val="32"/>
        </w:rPr>
        <w:t>3.1 Table 3.1: Correlation Strengths with Target variable Sales</w:t>
      </w:r>
    </w:p>
    <w:tbl>
      <w:tblPr>
        <w:tblStyle w:val="LightShading-Accent1"/>
        <w:tblW w:type="auto" w:w="0"/>
        <w:tblLook w:firstColumn="1" w:firstRow="1" w:lastColumn="0" w:lastRow="0" w:noHBand="0" w:noVBand="1" w:val="04A0"/>
      </w:tblPr>
      <w:tblGrid>
        <w:gridCol w:w="3010"/>
        <w:gridCol w:w="3010"/>
        <w:gridCol w:w="3010"/>
      </w:tblGrid>
      <w:tr>
        <w:tc>
          <w:tcPr>
            <w:tcW w:type="dxa" w:w="3010"/>
            <w:shd w:val="clear" w:color="auto" w:fill="102A43"/>
          </w:tcPr>
          <w:p>
            <w:r>
              <w:rPr>
                <w:b/>
                <w:color w:val="FFFFFF"/>
              </w:rPr>
              <w:t>Feature Channel</w:t>
            </w:r>
          </w:p>
        </w:tc>
        <w:tc>
          <w:tcPr>
            <w:tcW w:type="dxa" w:w="3010"/>
            <w:shd w:val="clear" w:color="auto" w:fill="102A43"/>
          </w:tcPr>
          <w:p>
            <w:r>
              <w:rPr>
                <w:b/>
                <w:color w:val="FFFFFF"/>
              </w:rPr>
              <w:t>Pearson Correlation (r)</w:t>
            </w:r>
          </w:p>
        </w:tc>
        <w:tc>
          <w:tcPr>
            <w:tcW w:type="dxa" w:w="3010"/>
            <w:shd w:val="clear" w:color="auto" w:fill="102A43"/>
          </w:tcPr>
          <w:p>
            <w:r>
              <w:rPr>
                <w:b/>
                <w:color w:val="FFFFFF"/>
              </w:rPr>
              <w:t>Association Strength</w:t>
            </w:r>
          </w:p>
        </w:tc>
      </w:tr>
      <w:tr>
        <w:tc>
          <w:tcPr>
            <w:tcW w:type="dxa" w:w="3010"/>
            <w:shd w:val="clear" w:color="auto" w:fill="F0F4F8"/>
          </w:tcPr>
          <w:p>
            <w:r>
              <w:t>TV</w:t>
            </w:r>
          </w:p>
        </w:tc>
        <w:tc>
          <w:tcPr>
            <w:tcW w:type="dxa" w:w="3010"/>
            <w:shd w:val="clear" w:color="auto" w:fill="F0F4F8"/>
          </w:tcPr>
          <w:p>
            <w:r>
              <w:t>0.9012</w:t>
            </w:r>
          </w:p>
        </w:tc>
        <w:tc>
          <w:tcPr>
            <w:tcW w:type="dxa" w:w="3010"/>
            <w:shd w:val="clear" w:color="auto" w:fill="F0F4F8"/>
          </w:tcPr>
          <w:p>
            <w:r>
              <w:t>Very Strong Positive</w:t>
            </w:r>
          </w:p>
        </w:tc>
      </w:tr>
      <w:tr>
        <w:tc>
          <w:tcPr>
            <w:tcW w:type="dxa" w:w="3010"/>
          </w:tcPr>
          <w:p>
            <w:r>
              <w:t>Radio</w:t>
            </w:r>
          </w:p>
        </w:tc>
        <w:tc>
          <w:tcPr>
            <w:tcW w:type="dxa" w:w="3010"/>
          </w:tcPr>
          <w:p>
            <w:r>
              <w:t>0.3496</w:t>
            </w:r>
          </w:p>
        </w:tc>
        <w:tc>
          <w:tcPr>
            <w:tcW w:type="dxa" w:w="3010"/>
          </w:tcPr>
          <w:p>
            <w:r>
              <w:t>Moderate Positive</w:t>
            </w:r>
          </w:p>
        </w:tc>
      </w:tr>
      <w:tr>
        <w:tc>
          <w:tcPr>
            <w:tcW w:type="dxa" w:w="3010"/>
            <w:shd w:val="clear" w:color="auto" w:fill="F0F4F8"/>
          </w:tcPr>
          <w:p>
            <w:r>
              <w:t>Newspaper</w:t>
            </w:r>
          </w:p>
        </w:tc>
        <w:tc>
          <w:tcPr>
            <w:tcW w:type="dxa" w:w="3010"/>
            <w:shd w:val="clear" w:color="auto" w:fill="F0F4F8"/>
          </w:tcPr>
          <w:p>
            <w:r>
              <w:t>0.1580</w:t>
            </w:r>
          </w:p>
        </w:tc>
        <w:tc>
          <w:tcPr>
            <w:tcW w:type="dxa" w:w="3010"/>
            <w:shd w:val="clear" w:color="auto" w:fill="F0F4F8"/>
          </w:tcPr>
          <w:p>
            <w:r>
              <w:t>Weak Positive</w:t>
            </w:r>
          </w:p>
        </w:tc>
      </w:tr>
    </w:tbl>
    <w:p>
      <w:pPr>
        <w:spacing w:line="360" w:lineRule="auto" w:after="240"/>
      </w:pPr>
      <w:r>
        <w:br/>
        <w:t>Bivariate correlation analysis indicates TV is the primary driver of Sales volume growth ($r=0.9012$). Newspaper promotions show a weak correlation ($r=0.1580$), suggesting that print ads are less effective at driving sales.</w:t>
      </w:r>
    </w:p>
    <w:p>
      <w:r>
        <w:br w:type="page"/>
      </w:r>
    </w:p>
    <w:p>
      <w:pPr>
        <w:spacing w:before="480" w:after="480"/>
      </w:pPr>
      <w:r>
        <w:rPr>
          <w:rFonts w:ascii="Arial" w:hAnsi="Arial"/>
          <w:b/>
          <w:color w:val="102A43"/>
          <w:sz w:val="44"/>
        </w:rPr>
        <w:t>Chapter 4</w:t>
        <w:br/>
        <w:t>Probability Analysis</w:t>
      </w:r>
    </w:p>
    <w:p>
      <w:pPr>
        <w:spacing w:before="360" w:after="160"/>
      </w:pPr>
      <w:r>
        <w:rPr>
          <w:rFonts w:ascii="Arial" w:hAnsi="Arial"/>
          <w:b/>
          <w:color w:val="243E56"/>
          <w:sz w:val="32"/>
        </w:rPr>
        <w:t>4.1 Normal Fit Probability Calculations</w:t>
      </w:r>
    </w:p>
    <w:p>
      <w:pPr>
        <w:spacing w:line="360" w:lineRule="auto" w:after="240"/>
      </w:pPr>
      <w:r>
        <w:t>Fitting a theoretical Gaussian Normal Distribution to target Sales yields a mean (mu) of 15.1305 and standard deviation (sigma) of 5.2839. The probability of achieving at least 15.0k units in a market is calculated analytically using Z-scores: Z = (15.0 - 15.1305) / 5.2839 = -0.0247, yielding P(Sales &gt; 15.0k) = 50.98%.</w:t>
        <w:br/>
        <w:t>Enforcing above-median TV spends raises the conditional probability of exceeding the 15.0k sales threshold to 82.00%, illustrating the value of TV promotions.</w:t>
      </w:r>
    </w:p>
    <w:p>
      <w:r>
        <w:br w:type="page"/>
      </w:r>
    </w:p>
    <w:p>
      <w:pPr>
        <w:spacing w:before="480" w:after="480"/>
      </w:pPr>
      <w:r>
        <w:rPr>
          <w:rFonts w:ascii="Arial" w:hAnsi="Arial"/>
          <w:b/>
          <w:color w:val="102A43"/>
          <w:sz w:val="44"/>
        </w:rPr>
        <w:t>Chapter 5</w:t>
        <w:br/>
        <w:t>Statistical Inference</w:t>
      </w:r>
    </w:p>
    <w:p>
      <w:pPr>
        <w:spacing w:before="360" w:after="160"/>
      </w:pPr>
      <w:r>
        <w:rPr>
          <w:rFonts w:ascii="Arial" w:hAnsi="Arial"/>
          <w:b/>
          <w:color w:val="243E56"/>
          <w:sz w:val="32"/>
        </w:rPr>
        <w:t>5.1 Two-Sample t-Test</w:t>
      </w:r>
    </w:p>
    <w:p>
      <w:pPr>
        <w:spacing w:line="360" w:lineRule="auto" w:after="240"/>
      </w:pPr>
      <w:r>
        <w:t>To test if high TV spending generates significantly higher sales, we run a t-test split at the median. The test yields t = 15.545 with a p-value of 5.87e-37. This extremely low p-value allows us to reject the null hypothesis ($H_0$), confirming a statistically significant difference in sales between high and low TV spend markets.</w:t>
      </w:r>
    </w:p>
    <w:p>
      <w:pPr>
        <w:spacing w:before="360" w:after="160"/>
      </w:pPr>
      <w:r>
        <w:rPr>
          <w:rFonts w:ascii="Arial" w:hAnsi="Arial"/>
          <w:b/>
          <w:color w:val="243E56"/>
          <w:sz w:val="32"/>
        </w:rPr>
        <w:t>5.2 One-Way ANOVA Results</w:t>
      </w:r>
    </w:p>
    <w:p>
      <w:pPr>
        <w:spacing w:line="360" w:lineRule="auto" w:after="240"/>
      </w:pPr>
      <w:r>
        <w:t>Grouping markets into three TV spend categories (Low, Medium, High) and running ANOVA yields an F-statistic of 204.6 (p = 1.04e-48). We reject the null hypothesis, confirming that sales differ significantly across the budget groups.</w:t>
      </w:r>
    </w:p>
    <w:p>
      <w:r>
        <w:br w:type="page"/>
      </w:r>
    </w:p>
    <w:p>
      <w:pPr>
        <w:spacing w:before="480" w:after="480"/>
      </w:pPr>
      <w:r>
        <w:rPr>
          <w:rFonts w:ascii="Arial" w:hAnsi="Arial"/>
          <w:b/>
          <w:color w:val="102A43"/>
          <w:sz w:val="44"/>
        </w:rPr>
        <w:t>Chapter 6</w:t>
        <w:br/>
        <w:t>Multiple Linear Regression Model</w:t>
      </w:r>
    </w:p>
    <w:p>
      <w:pPr>
        <w:spacing w:before="360" w:after="160"/>
      </w:pPr>
      <w:r>
        <w:rPr>
          <w:rFonts w:ascii="Arial" w:hAnsi="Arial"/>
          <w:b/>
          <w:color w:val="243E56"/>
          <w:sz w:val="32"/>
        </w:rPr>
        <w:t>6.1 OLS Equation and Feature Intercepts</w:t>
      </w:r>
    </w:p>
    <w:p>
      <w:pPr>
        <w:spacing w:line="360" w:lineRule="auto" w:after="240"/>
      </w:pPr>
      <w:r>
        <w:t>Fitting OLS regression parameters yields the equation:</w:t>
        <w:br/>
        <w:t>Sales = 4.7141 + 0.0545 * TV + 0.1009 * Radio + 0.0043 * Newspaper</w:t>
        <w:br/>
        <w:t>The model indicates a high coefficient of determination (R2 = 0.9059), meaning our features explain 90.59% of the variance in sales. The model's Root Mean Squared Error (RMSE) on the test dataset is 1.7033.</w:t>
      </w:r>
    </w:p>
    <w:p>
      <w:r>
        <w:br w:type="page"/>
      </w:r>
    </w:p>
    <w:p>
      <w:pPr>
        <w:spacing w:before="480" w:after="480"/>
      </w:pPr>
      <w:r>
        <w:rPr>
          <w:rFonts w:ascii="Arial" w:hAnsi="Arial"/>
          <w:b/>
          <w:color w:val="102A43"/>
          <w:sz w:val="44"/>
        </w:rPr>
        <w:t>Chapter 7</w:t>
        <w:br/>
        <w:t>Artificial Neural Network (Extension)</w:t>
      </w:r>
    </w:p>
    <w:p>
      <w:pPr>
        <w:spacing w:before="360" w:after="160"/>
      </w:pPr>
      <w:r>
        <w:rPr>
          <w:rFonts w:ascii="Arial" w:hAnsi="Arial"/>
          <w:b/>
          <w:color w:val="243E56"/>
          <w:sz w:val="32"/>
        </w:rPr>
        <w:t>7.1 Neural Network MLPRegressor Model</w:t>
      </w:r>
    </w:p>
    <w:p>
      <w:pPr>
        <w:spacing w:line="360" w:lineRule="auto" w:after="240"/>
      </w:pPr>
      <w:r>
        <w:t>To capture potential non-linear relationships, we implement a Feedforward Multi-Layer Perceptron (MLP) regressor: Input (3 features) -&gt; Hidden Layer 1 (8 neurons, ReLU) -&gt; Hidden Layer 2 (4 neurons, ReLU) -&gt; Output (1 neuron, Linear).</w:t>
        <w:br/>
        <w:t>The MLP Regressor is trained using scaled features to ensure gradient descent convergence. Training loss curves confirm stable convergence.</w:t>
      </w:r>
    </w:p>
    <w:p>
      <w:pPr>
        <w:spacing w:before="360" w:after="160"/>
      </w:pPr>
      <w:r>
        <w:rPr>
          <w:rFonts w:ascii="Arial" w:hAnsi="Arial"/>
          <w:b/>
          <w:color w:val="243E56"/>
          <w:sz w:val="32"/>
        </w:rPr>
        <w:t>7.2 Model Performance and Comparison</w:t>
      </w:r>
    </w:p>
    <w:p>
      <w:pPr>
        <w:spacing w:line="360" w:lineRule="auto" w:after="240"/>
      </w:pPr>
      <w:r>
        <w:t>The Neural Network model achieves a higher R-squared score (R2 = 0.9662) and lower prediction errors (RMSE = 1.0209) than the Multiple Linear Regression model (R2 = 0.9059, RMSE = 1.7033). This indicates that incorporating non-linear pathways improves forecasting accuracy.</w:t>
      </w:r>
    </w:p>
    <w:p>
      <w:r>
        <w:br w:type="page"/>
      </w:r>
    </w:p>
    <w:p>
      <w:pPr>
        <w:spacing w:before="480" w:after="480"/>
      </w:pPr>
      <w:r>
        <w:rPr>
          <w:rFonts w:ascii="Arial" w:hAnsi="Arial"/>
          <w:b/>
          <w:color w:val="102A43"/>
          <w:sz w:val="44"/>
        </w:rPr>
        <w:t>Chapter 8</w:t>
        <w:br/>
        <w:t>Results &amp; Recommendations</w:t>
      </w:r>
    </w:p>
    <w:p>
      <w:pPr>
        <w:spacing w:before="360" w:after="160"/>
      </w:pPr>
      <w:r>
        <w:rPr>
          <w:rFonts w:ascii="Arial" w:hAnsi="Arial"/>
          <w:b/>
          <w:color w:val="243E56"/>
          <w:sz w:val="32"/>
        </w:rPr>
        <w:t>8.1 Summary of Model Comparison</w:t>
      </w:r>
    </w:p>
    <w:tbl>
      <w:tblPr>
        <w:tblStyle w:val="LightShading-Accent1"/>
        <w:tblW w:type="auto" w:w="0"/>
        <w:tblLook w:firstColumn="1" w:firstRow="1" w:lastColumn="0" w:lastRow="0" w:noHBand="0" w:noVBand="1" w:val="04A0"/>
      </w:tblPr>
      <w:tblGrid>
        <w:gridCol w:w="2257"/>
        <w:gridCol w:w="2257"/>
        <w:gridCol w:w="2257"/>
        <w:gridCol w:w="2257"/>
      </w:tblGrid>
      <w:tr>
        <w:tc>
          <w:tcPr>
            <w:tcW w:type="dxa" w:w="2257"/>
            <w:shd w:val="clear" w:color="auto" w:fill="102A43"/>
          </w:tcPr>
          <w:p>
            <w:r>
              <w:rPr>
                <w:b/>
                <w:color w:val="FFFFFF"/>
              </w:rPr>
              <w:t>Performance Metric</w:t>
            </w:r>
          </w:p>
        </w:tc>
        <w:tc>
          <w:tcPr>
            <w:tcW w:type="dxa" w:w="2257"/>
            <w:shd w:val="clear" w:color="auto" w:fill="102A43"/>
          </w:tcPr>
          <w:p>
            <w:r>
              <w:rPr>
                <w:b/>
                <w:color w:val="FFFFFF"/>
              </w:rPr>
              <w:t>Linear Regression</w:t>
            </w:r>
          </w:p>
        </w:tc>
        <w:tc>
          <w:tcPr>
            <w:tcW w:type="dxa" w:w="2257"/>
            <w:shd w:val="clear" w:color="auto" w:fill="102A43"/>
          </w:tcPr>
          <w:p>
            <w:r>
              <w:rPr>
                <w:b/>
                <w:color w:val="FFFFFF"/>
              </w:rPr>
              <w:t>Neural Network (MLP)</w:t>
            </w:r>
          </w:p>
        </w:tc>
        <w:tc>
          <w:tcPr>
            <w:tcW w:type="dxa" w:w="2257"/>
            <w:shd w:val="clear" w:color="auto" w:fill="102A43"/>
          </w:tcPr>
          <w:p>
            <w:r>
              <w:rPr>
                <w:b/>
                <w:color w:val="FFFFFF"/>
              </w:rPr>
              <w:t>Better Model Choice</w:t>
            </w:r>
          </w:p>
        </w:tc>
      </w:tr>
      <w:tr>
        <w:tc>
          <w:tcPr>
            <w:tcW w:type="dxa" w:w="2257"/>
            <w:shd w:val="clear" w:color="auto" w:fill="F0F4F8"/>
          </w:tcPr>
          <w:p>
            <w:r>
              <w:t>Mean Absolute Error (MAE)</w:t>
            </w:r>
          </w:p>
        </w:tc>
        <w:tc>
          <w:tcPr>
            <w:tcW w:type="dxa" w:w="2257"/>
            <w:shd w:val="clear" w:color="auto" w:fill="F0F4F8"/>
          </w:tcPr>
          <w:p>
            <w:r>
              <w:t>1.4608</w:t>
            </w:r>
          </w:p>
        </w:tc>
        <w:tc>
          <w:tcPr>
            <w:tcW w:type="dxa" w:w="2257"/>
            <w:shd w:val="clear" w:color="auto" w:fill="F0F4F8"/>
          </w:tcPr>
          <w:p>
            <w:r>
              <w:t>0.7712</w:t>
            </w:r>
          </w:p>
        </w:tc>
        <w:tc>
          <w:tcPr>
            <w:tcW w:type="dxa" w:w="2257"/>
            <w:shd w:val="clear" w:color="auto" w:fill="F0F4F8"/>
          </w:tcPr>
          <w:p>
            <w:r>
              <w:t>Neural Network</w:t>
            </w:r>
          </w:p>
        </w:tc>
      </w:tr>
      <w:tr>
        <w:tc>
          <w:tcPr>
            <w:tcW w:type="dxa" w:w="2257"/>
          </w:tcPr>
          <w:p>
            <w:r>
              <w:t>Mean Squared Error (MSE)</w:t>
            </w:r>
          </w:p>
        </w:tc>
        <w:tc>
          <w:tcPr>
            <w:tcW w:type="dxa" w:w="2257"/>
          </w:tcPr>
          <w:p>
            <w:r>
              <w:t>2.9013</w:t>
            </w:r>
          </w:p>
        </w:tc>
        <w:tc>
          <w:tcPr>
            <w:tcW w:type="dxa" w:w="2257"/>
          </w:tcPr>
          <w:p>
            <w:r>
              <w:t>1.0423</w:t>
            </w:r>
          </w:p>
        </w:tc>
        <w:tc>
          <w:tcPr>
            <w:tcW w:type="dxa" w:w="2257"/>
          </w:tcPr>
          <w:p>
            <w:r>
              <w:t>Neural Network</w:t>
            </w:r>
          </w:p>
        </w:tc>
      </w:tr>
      <w:tr>
        <w:tc>
          <w:tcPr>
            <w:tcW w:type="dxa" w:w="2257"/>
            <w:shd w:val="clear" w:color="auto" w:fill="F0F4F8"/>
          </w:tcPr>
          <w:p>
            <w:r>
              <w:t>Root Mean Squared Error (RMSE)</w:t>
            </w:r>
          </w:p>
        </w:tc>
        <w:tc>
          <w:tcPr>
            <w:tcW w:type="dxa" w:w="2257"/>
            <w:shd w:val="clear" w:color="auto" w:fill="F0F4F8"/>
          </w:tcPr>
          <w:p>
            <w:r>
              <w:t>1.7033</w:t>
            </w:r>
          </w:p>
        </w:tc>
        <w:tc>
          <w:tcPr>
            <w:tcW w:type="dxa" w:w="2257"/>
            <w:shd w:val="clear" w:color="auto" w:fill="F0F4F8"/>
          </w:tcPr>
          <w:p>
            <w:r>
              <w:t>1.0209</w:t>
            </w:r>
          </w:p>
        </w:tc>
        <w:tc>
          <w:tcPr>
            <w:tcW w:type="dxa" w:w="2257"/>
            <w:shd w:val="clear" w:color="auto" w:fill="F0F4F8"/>
          </w:tcPr>
          <w:p>
            <w:r>
              <w:t>Neural Network</w:t>
            </w:r>
          </w:p>
        </w:tc>
      </w:tr>
      <w:tr>
        <w:tc>
          <w:tcPr>
            <w:tcW w:type="dxa" w:w="2257"/>
          </w:tcPr>
          <w:p>
            <w:r>
              <w:t>R-Squared Score (R2)</w:t>
            </w:r>
          </w:p>
        </w:tc>
        <w:tc>
          <w:tcPr>
            <w:tcW w:type="dxa" w:w="2257"/>
          </w:tcPr>
          <w:p>
            <w:r>
              <w:t>0.9059</w:t>
            </w:r>
          </w:p>
        </w:tc>
        <w:tc>
          <w:tcPr>
            <w:tcW w:type="dxa" w:w="2257"/>
          </w:tcPr>
          <w:p>
            <w:r>
              <w:t>0.9662</w:t>
            </w:r>
          </w:p>
        </w:tc>
        <w:tc>
          <w:tcPr>
            <w:tcW w:type="dxa" w:w="2257"/>
          </w:tcPr>
          <w:p>
            <w:r>
              <w:t>Neural Network</w:t>
            </w:r>
          </w:p>
        </w:tc>
      </w:tr>
    </w:tbl>
    <w:p>
      <w:pPr>
        <w:spacing w:before="360" w:after="160"/>
      </w:pPr>
      <w:r>
        <w:rPr>
          <w:rFonts w:ascii="Arial" w:hAnsi="Arial"/>
          <w:b/>
          <w:color w:val="243E56"/>
          <w:sz w:val="32"/>
        </w:rPr>
        <w:t>8.2 Managerial Marketing Recommendations</w:t>
      </w:r>
    </w:p>
    <w:p>
      <w:pPr>
        <w:spacing w:line="360" w:lineRule="auto" w:after="240"/>
      </w:pPr>
      <w:r>
        <w:t>1. Shift Newspaper print media budgets (which show negligible return) to TV and Radio.</w:t>
        <w:br/>
        <w:t>2. Allocate Radio budget for local, highly efficient promotions.</w:t>
        <w:br/>
        <w:t>3. Anchor large-scale branding campaigns using TV spend.</w:t>
        <w:br/>
        <w:t>4. Enforce TV spend floors (above median) to maintain high probability of sales success.</w:t>
        <w:br/>
        <w:t>5. Deploy the Linear Regression model for high-level budget allocation and the Neural Network for localized sales forecasting.</w:t>
      </w:r>
    </w:p>
    <w:p>
      <w:r>
        <w:br w:type="page"/>
      </w:r>
    </w:p>
    <w:p>
      <w:pPr>
        <w:spacing w:before="480" w:after="480"/>
      </w:pPr>
      <w:r>
        <w:rPr>
          <w:rFonts w:ascii="Arial" w:hAnsi="Arial"/>
          <w:b/>
          <w:color w:val="102A43"/>
          <w:sz w:val="44"/>
        </w:rPr>
        <w:t>Chapter 9</w:t>
        <w:br/>
        <w:t>Conclusion &amp; Future Work</w:t>
      </w:r>
    </w:p>
    <w:p>
      <w:pPr>
        <w:spacing w:line="360" w:lineRule="auto" w:after="240"/>
      </w:pPr>
      <w:r>
        <w:t>This project successfully modeled sales responses using regression and neural network methods. Future work should explore interaction effects ($X_{TV} \times X_{Radio}$) and incorporate competitor marketing expenditure to further improve forecasting precision.</w:t>
      </w:r>
    </w:p>
    <w:p>
      <w:pPr>
        <w:spacing w:before="360" w:after="160"/>
      </w:pPr>
      <w:r>
        <w:rPr>
          <w:rFonts w:ascii="Arial" w:hAnsi="Arial"/>
          <w:b/>
          <w:color w:val="243E56"/>
          <w:sz w:val="32"/>
        </w:rPr>
        <w:t>References</w:t>
      </w:r>
    </w:p>
    <w:p>
      <w:pPr>
        <w:spacing w:line="360" w:lineRule="auto" w:after="240"/>
      </w:pPr>
      <w:r>
        <w:t>1. Montgomery, D. C., Peck, E. A., &amp; Vining, G. G. (2012). Introduction to Linear Regression Analysis. John Wiley &amp; Sons.</w:t>
        <w:br/>
        <w:t>2. James, G., Witten, D., Hastie, T., &amp; Tibshirani, R. (2013). An Introduction to Statistical Learning. Springer.</w:t>
        <w:br/>
        <w:t>3. Pedregosa, F., et al. (2011). Scikit-learn: Machine learning in Python. Journal of Machine Learning Research.</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