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013F20A2" w14:textId="77777777" w:rsidTr="00B6477E">
        <w:tc>
          <w:tcPr>
            <w:tcW w:w="1383" w:type="dxa"/>
          </w:tcPr>
          <w:p w14:paraId="5EDBC880" w14:textId="50669779" w:rsidR="00497050" w:rsidRPr="00C240C1" w:rsidRDefault="00914061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29571D87" wp14:editId="7828CD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0A7C99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FED7FB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48A15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E6239A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49CA1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EDA2D0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FDE4C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DD3950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908435E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1D10E98E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ФАКУЛЬТЕТ ________</w:t>
      </w:r>
      <w:r w:rsidRPr="00215CA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2CDCBD83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8785D8" w14:textId="2B5F04A9" w:rsidR="00497050" w:rsidRPr="00C240C1" w:rsidRDefault="0008001A" w:rsidP="0008001A">
      <w:pPr>
        <w:spacing w:after="0"/>
        <w:rPr>
          <w:rFonts w:ascii="Times New Roman" w:hAnsi="Times New Roman"/>
          <w:i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______</w:t>
      </w:r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(ИУ5)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</w:t>
      </w:r>
    </w:p>
    <w:p w14:paraId="512675A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4B7D4F4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21564F8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7368D0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2CCC68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E89DA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AF4F87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62EDD80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985981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52803B1" w14:textId="6323F2EC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</w:t>
      </w:r>
      <w:proofErr w:type="spellStart"/>
      <w:r w:rsidR="00991618" w:rsidRPr="00991618">
        <w:rPr>
          <w:rFonts w:ascii="Times New Roman" w:hAnsi="Times New Roman"/>
          <w:b/>
          <w:i/>
          <w:sz w:val="40"/>
          <w:u w:val="single"/>
        </w:rPr>
        <w:t>Программа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пересылки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диалога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 w:rsidRPr="00C240C1">
        <w:rPr>
          <w:rFonts w:ascii="Times New Roman" w:hAnsi="Times New Roman"/>
          <w:b/>
          <w:i/>
          <w:sz w:val="40"/>
        </w:rPr>
        <w:t>______</w:t>
      </w:r>
    </w:p>
    <w:p w14:paraId="1B2281A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5D3DFB9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C3A74B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9BF59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F29270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8CAFF7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EB7AD2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77BB0F4" w14:textId="56A1B43A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</w:t>
      </w:r>
      <w:r w:rsidR="00991618" w:rsidRPr="00991618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</w:t>
      </w:r>
      <w:proofErr w:type="spellStart"/>
      <w:r w:rsidR="005B3CF9" w:rsidRPr="005B3CF9">
        <w:rPr>
          <w:rFonts w:ascii="Times New Roman" w:hAnsi="Times New Roman"/>
          <w:b/>
          <w:u w:val="single"/>
        </w:rPr>
        <w:t>А.Е.</w:t>
      </w:r>
      <w:r w:rsidRPr="00C240C1">
        <w:rPr>
          <w:rFonts w:ascii="Times New Roman" w:hAnsi="Times New Roman"/>
          <w:b/>
        </w:rPr>
        <w:t>_</w:t>
      </w:r>
      <w:r w:rsidR="005B3CF9" w:rsidRPr="005B3CF9">
        <w:rPr>
          <w:rFonts w:ascii="Times New Roman" w:hAnsi="Times New Roman"/>
          <w:b/>
          <w:u w:val="single"/>
        </w:rPr>
        <w:t>Чиварзин</w:t>
      </w:r>
      <w:proofErr w:type="spellEnd"/>
      <w:r w:rsidRPr="00C240C1">
        <w:rPr>
          <w:rFonts w:ascii="Times New Roman" w:hAnsi="Times New Roman"/>
          <w:b/>
        </w:rPr>
        <w:t xml:space="preserve">___ </w:t>
      </w:r>
    </w:p>
    <w:p w14:paraId="7F404233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F389C4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9CF62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3F0560C" w14:textId="1B05DC03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7621EA5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27FF9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F854AF4" w14:textId="0175355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2799393A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C351D98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CBD1A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DB04DE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A906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262EBEC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8018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DE0CF4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47BF3B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2426EB5" w14:textId="19C648B2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196483">
        <w:rPr>
          <w:rFonts w:ascii="Times New Roman" w:hAnsi="Times New Roman"/>
          <w:i/>
          <w:sz w:val="28"/>
        </w:rPr>
        <w:t>22</w:t>
      </w:r>
      <w:r w:rsidRPr="00C240C1">
        <w:rPr>
          <w:rFonts w:ascii="Times New Roman" w:hAnsi="Times New Roman"/>
          <w:i/>
          <w:sz w:val="28"/>
        </w:rPr>
        <w:t xml:space="preserve">  г.</w:t>
      </w:r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2984E9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D6165C">
        <w:rPr>
          <w:rFonts w:ascii="Times New Roman" w:hAnsi="Times New Roman"/>
          <w:noProof/>
          <w:u w:val="single"/>
        </w:rPr>
        <w:t>20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35484BF" w14:textId="6FFE8220" w:rsidR="00D6165C" w:rsidRDefault="000D11F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3413" w:history="1">
            <w:r w:rsidR="00D6165C" w:rsidRPr="00116634">
              <w:rPr>
                <w:rStyle w:val="a4"/>
                <w:noProof/>
                <w:lang w:bidi="ru-RU"/>
              </w:rPr>
              <w:t>1.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Введение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C7539AC" w14:textId="6DDC1EF7" w:rsidR="00D6165C" w:rsidRDefault="00D6165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4" w:history="1">
            <w:r w:rsidRPr="00116634">
              <w:rPr>
                <w:rStyle w:val="a4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74B9" w14:textId="56FE7147" w:rsidR="00D6165C" w:rsidRDefault="00D6165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5" w:history="1">
            <w:r w:rsidRPr="00116634">
              <w:rPr>
                <w:rStyle w:val="a4"/>
                <w:noProof/>
                <w:lang w:bidi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A3A3" w14:textId="173CDD34" w:rsidR="00D6165C" w:rsidRDefault="00D6165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6" w:history="1">
            <w:r w:rsidRPr="00116634">
              <w:rPr>
                <w:rStyle w:val="a4"/>
                <w:noProof/>
                <w:lang w:bidi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16634">
              <w:rPr>
                <w:rStyle w:val="a4"/>
                <w:noProof/>
                <w:lang w:bidi="ru-RU"/>
              </w:rPr>
              <w:t>Физический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9A87" w14:textId="4A300954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7" w:history="1">
            <w:r w:rsidRPr="00116634">
              <w:rPr>
                <w:rStyle w:val="a4"/>
                <w:noProof/>
                <w:lang w:bidi="ru-RU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Pr="00116634">
              <w:rPr>
                <w:rStyle w:val="a4"/>
                <w:noProof/>
                <w:lang w:val="en-US" w:bidi="en-US"/>
              </w:rPr>
              <w:t>RS-232-C.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FF9C" w14:textId="12FB3016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8" w:history="1">
            <w:r w:rsidRPr="00116634">
              <w:rPr>
                <w:rStyle w:val="a4"/>
                <w:noProof/>
                <w:lang w:bidi="ru-RU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  <w:lang w:bidi="ru-RU"/>
              </w:rPr>
              <w:t>Нуль-модемный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0A52" w14:textId="356F8695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9" w:history="1">
            <w:r w:rsidRPr="00116634">
              <w:rPr>
                <w:rStyle w:val="a4"/>
                <w:noProof/>
                <w:lang w:val="en-US" w:bidi="en-US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 xml:space="preserve">Настройка </w:t>
            </w:r>
            <w:r w:rsidRPr="00116634">
              <w:rPr>
                <w:rStyle w:val="a4"/>
                <w:noProof/>
                <w:lang w:val="en-US" w:bidi="en-US"/>
              </w:rPr>
              <w:t>COM</w:t>
            </w:r>
            <w:r w:rsidRPr="00116634">
              <w:rPr>
                <w:rStyle w:val="a4"/>
                <w:noProof/>
              </w:rPr>
              <w:t xml:space="preserve">-порта средствами библиотеки для </w:t>
            </w:r>
            <w:r w:rsidRPr="00116634">
              <w:rPr>
                <w:rStyle w:val="a4"/>
                <w:noProof/>
                <w:lang w:val="en-US" w:bidi="en-US"/>
              </w:rPr>
              <w:t>C</w:t>
            </w:r>
            <w:r w:rsidRPr="00116634">
              <w:rPr>
                <w:rStyle w:val="a4"/>
                <w:noProof/>
                <w:lang w:bidi="en-US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AF00" w14:textId="7C49BCE4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0" w:history="1">
            <w:r w:rsidRPr="00116634">
              <w:rPr>
                <w:rStyle w:val="a4"/>
                <w:noProof/>
                <w:lang w:val="en-US" w:bidi="en-US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 xml:space="preserve">Описание класса </w:t>
            </w:r>
            <w:r w:rsidRPr="00116634">
              <w:rPr>
                <w:rStyle w:val="a4"/>
                <w:noProof/>
                <w:lang w:val="en-US" w:bidi="en-US"/>
              </w:rPr>
              <w:t>SerialPort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6A38" w14:textId="2F2B389D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1" w:history="1">
            <w:r w:rsidRPr="00116634">
              <w:rPr>
                <w:rStyle w:val="a4"/>
                <w:b/>
                <w:bCs/>
                <w:noProof/>
                <w:lang w:val="en-US" w:bidi="en-US"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b/>
                <w:bCs/>
                <w:noProof/>
              </w:rPr>
              <w:t>Конструкторы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AA4E" w14:textId="0F8564D0" w:rsidR="00D6165C" w:rsidRDefault="00D6165C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2" w:history="1">
            <w:r w:rsidRPr="00116634">
              <w:rPr>
                <w:rStyle w:val="a4"/>
                <w:noProof/>
              </w:rPr>
              <w:t>4.3. Функции физического уровня.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4283" w14:textId="0D024A23" w:rsidR="00D6165C" w:rsidRDefault="00D6165C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3" w:history="1">
            <w:r w:rsidRPr="00116634">
              <w:rPr>
                <w:rStyle w:val="a4"/>
                <w:noProof/>
              </w:rPr>
              <w:t>4.4.1. Открытие 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5CB3" w14:textId="4F6F10D8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4" w:history="1">
            <w:r w:rsidRPr="00116634">
              <w:rPr>
                <w:rStyle w:val="a4"/>
                <w:noProof/>
                <w:lang w:bidi="ru-RU"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Закрытие 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3951" w14:textId="0763528D" w:rsidR="00D6165C" w:rsidRDefault="00D6165C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5" w:history="1">
            <w:r w:rsidRPr="00116634">
              <w:rPr>
                <w:rStyle w:val="a4"/>
                <w:noProof/>
                <w:lang w:bidi="ru-RU"/>
              </w:rPr>
              <w:t>4.4.3.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7652" w14:textId="10DF69B3" w:rsidR="00D6165C" w:rsidRDefault="00D6165C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6" w:history="1">
            <w:r w:rsidRPr="00116634">
              <w:rPr>
                <w:rStyle w:val="a4"/>
                <w:noProof/>
              </w:rPr>
              <w:t>4.4.4. Прием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13D6" w14:textId="268E04ED" w:rsidR="00D6165C" w:rsidRDefault="00D6165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27" w:history="1">
            <w:r w:rsidRPr="00116634">
              <w:rPr>
                <w:rStyle w:val="a4"/>
                <w:noProof/>
                <w:lang w:bidi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Канальный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DB46" w14:textId="177D5A57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8" w:history="1">
            <w:r w:rsidRPr="00116634">
              <w:rPr>
                <w:rStyle w:val="a4"/>
                <w:noProof/>
                <w:lang w:bidi="ru-RU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Функции канального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E0CD" w14:textId="0DCA5DA7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9" w:history="1">
            <w:r w:rsidRPr="00116634">
              <w:rPr>
                <w:rStyle w:val="a4"/>
                <w:noProof/>
                <w:lang w:bidi="ru-RU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Протокол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E02D" w14:textId="58EC9924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0" w:history="1">
            <w:r w:rsidRPr="00116634">
              <w:rPr>
                <w:rStyle w:val="a4"/>
                <w:noProof/>
                <w:lang w:bidi="ru-RU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Защита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1808" w14:textId="0003D791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1" w:history="1">
            <w:r w:rsidRPr="00116634">
              <w:rPr>
                <w:rStyle w:val="a4"/>
                <w:noProof/>
                <w:lang w:bidi="ru-RU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Кодирование кодом Хемминга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C425" w14:textId="71BFB90D" w:rsidR="00D6165C" w:rsidRDefault="00D6165C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2" w:history="1">
            <w:r w:rsidRPr="00116634">
              <w:rPr>
                <w:rStyle w:val="a4"/>
                <w:noProof/>
                <w:lang w:bidi="ru-RU"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Форматы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A617" w14:textId="70FA219B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3" w:history="1">
            <w:r w:rsidRPr="00116634">
              <w:rPr>
                <w:rStyle w:val="a4"/>
                <w:noProof/>
                <w:lang w:bidi="ru-RU"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Служебные супервизорные кадры.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BAB6" w14:textId="3AD5B660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4" w:history="1">
            <w:r w:rsidRPr="00116634">
              <w:rPr>
                <w:rStyle w:val="a4"/>
                <w:noProof/>
                <w:lang w:bidi="ru-RU"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Супервизорные кадры передачи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C9B6" w14:textId="4009501E" w:rsidR="00D6165C" w:rsidRDefault="00D6165C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5" w:history="1">
            <w:r w:rsidRPr="00116634">
              <w:rPr>
                <w:rStyle w:val="a4"/>
                <w:noProof/>
                <w:lang w:bidi="ru-RU"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Информационные кадры.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0CAE" w14:textId="6D2F5D21" w:rsidR="00D6165C" w:rsidRDefault="00D6165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36" w:history="1">
            <w:r w:rsidRPr="00116634">
              <w:rPr>
                <w:rStyle w:val="a4"/>
                <w:noProof/>
                <w:lang w:bidi="ru-RU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16634">
              <w:rPr>
                <w:rStyle w:val="a4"/>
                <w:noProof/>
              </w:rPr>
              <w:t>Прикладной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4DD4" w14:textId="061A4695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8003413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8003414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8003415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8003416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8003417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CTS (Clear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8003418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8003419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6035C1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6035C1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8003420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bookmarkStart w:id="20" w:name="_Toc98003421"/>
      <w:r>
        <w:rPr>
          <w:b/>
          <w:bCs/>
          <w:color w:val="000000"/>
        </w:rPr>
        <w:t>Конструкторы класса</w:t>
      </w:r>
      <w:bookmarkEnd w:id="2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6035C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6035C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31" w:history="1">
              <w:bookmarkStart w:id="21" w:name="bookmark26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3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41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4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6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6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6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8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84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8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6035C1">
            <w:pPr>
              <w:pStyle w:val="afb"/>
              <w:spacing w:line="240" w:lineRule="auto"/>
              <w:ind w:firstLine="0"/>
            </w:pPr>
            <w:hyperlink r:id="rId86" w:history="1">
              <w:bookmarkStart w:id="22" w:name="bookmark27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WriteLine(String)</w:t>
              </w:r>
              <w:bookmarkEnd w:id="22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3" w:name="bookmark28"/>
      <w:bookmarkStart w:id="24" w:name="_Toc98003422"/>
      <w:r>
        <w:rPr>
          <w:color w:val="000000"/>
        </w:rPr>
        <w:t>4.3. Функции физического уровня.</w:t>
      </w:r>
      <w:bookmarkEnd w:id="23"/>
      <w:bookmarkEnd w:id="24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5" w:name="bookmark30"/>
      <w:bookmarkStart w:id="26" w:name="_Toc98003423"/>
      <w:r>
        <w:rPr>
          <w:color w:val="000000"/>
        </w:rPr>
        <w:t>4.4.1. Открытие порта</w:t>
      </w:r>
      <w:bookmarkEnd w:id="25"/>
      <w:bookmarkEnd w:id="26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 xml:space="preserve">().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6035C1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6035C1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6035C1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6035C1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6035C1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7" w:name="bookmark32"/>
      <w:bookmarkStart w:id="28" w:name="_Toc98003424"/>
      <w:r>
        <w:rPr>
          <w:color w:val="000000"/>
        </w:rPr>
        <w:t>Закрытие порта</w:t>
      </w:r>
      <w:bookmarkEnd w:id="27"/>
      <w:bookmarkEnd w:id="28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 xml:space="preserve">()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9" w:name="bookmark34"/>
      <w:bookmarkStart w:id="30" w:name="_Toc98003425"/>
      <w:r>
        <w:rPr>
          <w:color w:val="000000"/>
        </w:rPr>
        <w:lastRenderedPageBreak/>
        <w:t>Передача данных</w:t>
      </w:r>
      <w:bookmarkEnd w:id="29"/>
      <w:bookmarkEnd w:id="30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1" w:name="bookmark36"/>
      <w:bookmarkStart w:id="32" w:name="_Toc98003426"/>
      <w:r>
        <w:rPr>
          <w:color w:val="000000"/>
        </w:rPr>
        <w:t>4.4.4. Прием данных</w:t>
      </w:r>
      <w:bookmarkEnd w:id="31"/>
      <w:bookmarkEnd w:id="32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3" w:name="bookmark38"/>
      <w:bookmarkStart w:id="34" w:name="_Toc98003427"/>
      <w:r>
        <w:rPr>
          <w:color w:val="000000"/>
        </w:rPr>
        <w:t>Канальный уровень</w:t>
      </w:r>
      <w:bookmarkEnd w:id="33"/>
      <w:bookmarkEnd w:id="34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5" w:name="_Toc98003428"/>
      <w:r>
        <w:rPr>
          <w:color w:val="000000"/>
        </w:rPr>
        <w:t>Функции канального уровня</w:t>
      </w:r>
      <w:bookmarkEnd w:id="35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6" w:name="bookmark41"/>
      <w:bookmarkStart w:id="37" w:name="bookmark42"/>
      <w:r>
        <w:rPr>
          <w:color w:val="000000"/>
        </w:rPr>
        <w:t>На канальном уровне должны выполняться следующие функции:</w:t>
      </w:r>
      <w:bookmarkEnd w:id="36"/>
      <w:bookmarkEnd w:id="37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8" w:name="bookmark43"/>
      <w:r>
        <w:rPr>
          <w:color w:val="000000"/>
        </w:rPr>
        <w:t>Запрос на разъединение логического соединения.</w:t>
      </w:r>
      <w:bookmarkEnd w:id="38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9" w:name="bookmark44"/>
      <w:bookmarkStart w:id="40" w:name="_Toc98003429"/>
      <w:r>
        <w:rPr>
          <w:color w:val="000000"/>
        </w:rPr>
        <w:t>Протокол связи</w:t>
      </w:r>
      <w:bookmarkEnd w:id="39"/>
      <w:bookmarkEnd w:id="40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1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1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2" w:name="bookmark47"/>
      <w:bookmarkStart w:id="43" w:name="_Toc98003430"/>
      <w:r>
        <w:rPr>
          <w:color w:val="000000"/>
        </w:rPr>
        <w:t>Защита передаваемой информации</w:t>
      </w:r>
      <w:bookmarkEnd w:id="42"/>
      <w:bookmarkEnd w:id="43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4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4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5" w:name="bookmark50"/>
      <w:bookmarkStart w:id="46" w:name="_Toc9800343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5"/>
      <w:r>
        <w:rPr>
          <w:color w:val="000000"/>
        </w:rPr>
        <w:t xml:space="preserve"> кодом Хемминга</w:t>
      </w:r>
      <w:bookmarkEnd w:id="46"/>
    </w:p>
    <w:p w14:paraId="372B2C62" w14:textId="5CC1A6E3" w:rsidR="00385ED9" w:rsidRPr="00C33D14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Алгоритм кодирования состоит в том, что</w:t>
      </w:r>
      <w:r w:rsidR="006A2782" w:rsidRPr="00C33D14">
        <w:rPr>
          <w:rFonts w:ascii="Times New Roman" w:hAnsi="Times New Roman"/>
          <w:sz w:val="28"/>
          <w:szCs w:val="28"/>
        </w:rPr>
        <w:t xml:space="preserve"> данные разбиваются на блоки фиксированной длины и ввода в них контрольных бит, дополняющих до четности несколько пересекающихся групп, охватывающих все биты блока.</w:t>
      </w:r>
    </w:p>
    <w:p w14:paraId="72D2F9A4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22C0093B" w14:textId="1D110B1C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 xml:space="preserve"> бит. Для каждого блока такой длины возможны n различных комбинаций, содержащих ошибку.</w:t>
      </w:r>
    </w:p>
    <w:p w14:paraId="3C2EF1A1" w14:textId="5C1F4A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</w:t>
      </w:r>
      <w:r w:rsidR="00DF3FCD">
        <w:rPr>
          <w:rFonts w:ascii="Times New Roman" w:hAnsi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(n+1)</m:t>
        </m:r>
      </m:oMath>
      <w:r w:rsidRPr="00C33D14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6FF8751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</w:t>
      </w:r>
      <w:r w:rsidRPr="00C33D14">
        <w:rPr>
          <w:rFonts w:ascii="Times New Roman" w:hAnsi="Times New Roman"/>
          <w:sz w:val="28"/>
          <w:szCs w:val="28"/>
        </w:rPr>
        <w:lastRenderedPageBreak/>
        <w:t xml:space="preserve">последовательностей длиной </w:t>
      </w:r>
      <w:proofErr w:type="spellStart"/>
      <w:r w:rsidRPr="00C33D14">
        <w:rPr>
          <w:rFonts w:ascii="Times New Roman" w:hAnsi="Times New Roman"/>
          <w:sz w:val="28"/>
          <w:szCs w:val="28"/>
        </w:rPr>
        <w:t>m+k</w:t>
      </w:r>
      <w:proofErr w:type="spellEnd"/>
      <w:r w:rsidRPr="00C33D14">
        <w:rPr>
          <w:rFonts w:ascii="Times New Roman" w:hAnsi="Times New Roman"/>
          <w:sz w:val="28"/>
          <w:szCs w:val="28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9B1F29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2AB54E79" w14:textId="78AF25A3" w:rsidR="002E02F3" w:rsidRPr="00C33D14" w:rsidRDefault="006035C1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×(n+1)=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8903ED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Учитывая, что n = m + k, получаем: </w:t>
      </w:r>
    </w:p>
    <w:p w14:paraId="20C79181" w14:textId="6556BE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m – 1</m:t>
          </m:r>
        </m:oMath>
      </m:oMathPara>
    </w:p>
    <w:p w14:paraId="2325BBB6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799EF14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619B51E3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1EA15FB0" w14:textId="314A029F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C33D14">
        <w:rPr>
          <w:rFonts w:ascii="Times New Roman" w:hAnsi="Times New Roman"/>
          <w:sz w:val="28"/>
          <w:szCs w:val="28"/>
        </w:rPr>
        <w:t>, где к – любое положительное целое число.</w:t>
      </w:r>
    </w:p>
    <w:p w14:paraId="2FE09DD5" w14:textId="336BD2D2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Например, для закодированной последовательности длиной 13 бит проверочными будут: 1, 2, 4 и 8 биты, 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5713C560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C2C30A8" w14:textId="101033D0" w:rsidR="002E02F3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lastRenderedPageBreak/>
        <w:t xml:space="preserve"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</w:t>
      </w:r>
      <m:oMath>
        <m:r>
          <w:rPr>
            <w:rFonts w:ascii="Cambria Math" w:hAnsi="Cambria Math"/>
            <w:sz w:val="28"/>
            <w:szCs w:val="28"/>
          </w:rPr>
          <m:t xml:space="preserve">9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1 + 8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2017D589" w14:textId="551E1FF8" w:rsidR="00D7457D" w:rsidRDefault="00D7457D" w:rsidP="00D7457D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47" w:name="_Toc98003432"/>
      <w:r>
        <w:rPr>
          <w:color w:val="000000"/>
        </w:rPr>
        <w:t>Форматы кадров</w:t>
      </w:r>
      <w:bookmarkEnd w:id="47"/>
    </w:p>
    <w:p w14:paraId="45BBA455" w14:textId="77777777" w:rsidR="00803C76" w:rsidRDefault="00803C76" w:rsidP="00803C76">
      <w:pPr>
        <w:pStyle w:val="13"/>
        <w:spacing w:after="240"/>
        <w:ind w:firstLine="709"/>
      </w:pPr>
      <w:bookmarkStart w:id="48" w:name="bookmark60"/>
      <w:r>
        <w:rPr>
          <w:color w:val="000000"/>
        </w:rPr>
        <w:t>Кадры, передаваемые с помощью функций канального уровня, имеют различное назначение. Выделены служебные и информационные кадры.</w:t>
      </w:r>
      <w:bookmarkEnd w:id="48"/>
    </w:p>
    <w:p w14:paraId="4A9C20AD" w14:textId="77777777" w:rsidR="00803C76" w:rsidRDefault="00803C76" w:rsidP="00D6165C">
      <w:pPr>
        <w:pStyle w:val="25"/>
        <w:keepNext/>
        <w:keepLines/>
        <w:numPr>
          <w:ilvl w:val="2"/>
          <w:numId w:val="13"/>
        </w:numPr>
        <w:tabs>
          <w:tab w:val="left" w:pos="722"/>
        </w:tabs>
        <w:spacing w:after="120" w:line="240" w:lineRule="auto"/>
        <w:outlineLvl w:val="2"/>
      </w:pPr>
      <w:bookmarkStart w:id="49" w:name="bookmark61"/>
      <w:bookmarkStart w:id="50" w:name="_Toc98003433"/>
      <w:r>
        <w:rPr>
          <w:color w:val="000000"/>
        </w:rPr>
        <w:t>Служебные супервизорные кадры.</w:t>
      </w:r>
      <w:bookmarkEnd w:id="49"/>
      <w:bookmarkEnd w:id="50"/>
    </w:p>
    <w:p w14:paraId="629E77D8" w14:textId="4B81E666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кадр запроса на установление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UPLINK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 xml:space="preserve">– кадр поддержания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LINKACTIVE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RET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>кадр запроса повторной передачи сообщения при ошибке в сообщения (неправильность битов)</w:t>
      </w:r>
    </w:p>
    <w:p w14:paraId="746881FE" w14:textId="6B982EDA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DOWNLINK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кадр разрыва логического соединения</w:t>
      </w:r>
    </w:p>
    <w:p w14:paraId="684FD605" w14:textId="66904E5B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DOWNLINK</w:t>
      </w:r>
      <w:r w:rsidRPr="00803C76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– положительная квитанция на </w:t>
      </w:r>
      <w:r>
        <w:rPr>
          <w:color w:val="000000"/>
          <w:lang w:val="en-US" w:eastAsia="en-US" w:bidi="en-US"/>
        </w:rPr>
        <w:t>DOWNLINK</w:t>
      </w:r>
      <w:r>
        <w:rPr>
          <w:color w:val="000000"/>
        </w:rPr>
        <w:t>-кадр</w:t>
      </w:r>
    </w:p>
    <w:p w14:paraId="59D27B9F" w14:textId="77777777" w:rsidR="00803C76" w:rsidRDefault="00803C76" w:rsidP="00803C76">
      <w:pPr>
        <w:pStyle w:val="13"/>
        <w:tabs>
          <w:tab w:val="left" w:pos="7536"/>
        </w:tabs>
        <w:ind w:firstLine="740"/>
        <w:jc w:val="both"/>
      </w:pPr>
      <w:r>
        <w:rPr>
          <w:color w:val="000000"/>
        </w:rPr>
        <w:t>Эти кадры используются для передачи служебной информации и реализуют следующие функции канального уровня:</w:t>
      </w:r>
      <w:r>
        <w:rPr>
          <w:color w:val="000000"/>
        </w:rPr>
        <w:tab/>
        <w:t>установление и</w:t>
      </w:r>
    </w:p>
    <w:p w14:paraId="7ADD5BA0" w14:textId="77777777" w:rsidR="00803C76" w:rsidRDefault="00803C76" w:rsidP="00803C76">
      <w:pPr>
        <w:pStyle w:val="13"/>
        <w:ind w:firstLine="0"/>
        <w:jc w:val="both"/>
      </w:pPr>
      <w:r>
        <w:rPr>
          <w:color w:val="000000"/>
        </w:rPr>
        <w:t>разъединение логического канала, подтверждение приема информационного кадра без ошибок, запрос на повторную передачу принятого с ошибкой кадра.</w:t>
      </w:r>
    </w:p>
    <w:p w14:paraId="1910F34D" w14:textId="77777777" w:rsidR="00803C76" w:rsidRDefault="00803C76" w:rsidP="00803C76">
      <w:pPr>
        <w:pStyle w:val="af9"/>
        <w:jc w:val="left"/>
      </w:pPr>
      <w:r>
        <w:rPr>
          <w:i w:val="0"/>
          <w:iCs w:val="0"/>
          <w:color w:val="000000"/>
        </w:rPr>
        <w:t>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20"/>
      </w:tblGrid>
      <w:tr w:rsidR="00803C76" w14:paraId="0D12B1FF" w14:textId="77777777" w:rsidTr="00803C76">
        <w:trPr>
          <w:trHeight w:hRule="exact" w:val="33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A52934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CE927D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AA5884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4C34469D" w14:textId="77777777" w:rsidTr="00803C76">
        <w:trPr>
          <w:trHeight w:hRule="exact" w:val="98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4348A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D46C6F2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610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0C85D4B9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4"/>
        </w:tabs>
        <w:spacing w:after="140"/>
        <w:outlineLvl w:val="2"/>
        <w:rPr>
          <w:lang w:bidi="ru-RU"/>
        </w:rPr>
      </w:pPr>
      <w:bookmarkStart w:id="51" w:name="bookmark63"/>
      <w:bookmarkStart w:id="52" w:name="_Toc98003434"/>
      <w:r>
        <w:rPr>
          <w:color w:val="000000"/>
        </w:rPr>
        <w:t>Супервизорные кадры передачи параметров</w:t>
      </w:r>
      <w:bookmarkEnd w:id="51"/>
      <w:bookmarkEnd w:id="52"/>
    </w:p>
    <w:p w14:paraId="053E6EF7" w14:textId="77777777" w:rsidR="00803C76" w:rsidRDefault="00803C76" w:rsidP="00803C76">
      <w:pPr>
        <w:pStyle w:val="13"/>
        <w:ind w:firstLine="740"/>
        <w:jc w:val="both"/>
      </w:pPr>
      <w:r>
        <w:rPr>
          <w:color w:val="000000"/>
        </w:rPr>
        <w:t xml:space="preserve">Супервизорные кадры передачи параметров используются для синхронизации параметров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-портов, как принимающего, так и отправляющего. Кадр данного типа формируется, когда на одном из компьютеров изменяются параметры.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2006"/>
        <w:gridCol w:w="2002"/>
        <w:gridCol w:w="2016"/>
      </w:tblGrid>
      <w:tr w:rsidR="00803C76" w14:paraId="17ACC82C" w14:textId="77777777" w:rsidTr="00803C76">
        <w:trPr>
          <w:trHeight w:hRule="exact" w:val="336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339E38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49B5C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0CFF25C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915D15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39A157EE" w14:textId="77777777" w:rsidTr="00803C76">
        <w:trPr>
          <w:trHeight w:hRule="exact" w:val="9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8013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EA4AFB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Тип </w:t>
            </w:r>
            <w:proofErr w:type="spellStart"/>
            <w:r>
              <w:rPr>
                <w:color w:val="000000"/>
              </w:rPr>
              <w:t>супервизорног</w:t>
            </w:r>
            <w:proofErr w:type="spellEnd"/>
            <w:r>
              <w:rPr>
                <w:color w:val="000000"/>
              </w:rPr>
              <w:t xml:space="preserve"> о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F6EE67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Параметры СОМ-порта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D23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7DB71807" w14:textId="77777777" w:rsidR="00803C76" w:rsidRDefault="00803C76" w:rsidP="00803C76">
      <w:pPr>
        <w:spacing w:after="719" w:line="1" w:lineRule="exact"/>
        <w:rPr>
          <w:rFonts w:ascii="Courier New" w:hAnsi="Courier New" w:cs="Courier New"/>
          <w:color w:val="000000"/>
          <w:lang w:bidi="ru-RU"/>
        </w:rPr>
      </w:pPr>
    </w:p>
    <w:p w14:paraId="7421CB30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0"/>
        </w:tabs>
        <w:spacing w:after="140"/>
        <w:outlineLvl w:val="2"/>
      </w:pPr>
      <w:bookmarkStart w:id="53" w:name="bookmark65"/>
      <w:bookmarkStart w:id="54" w:name="_Toc98003435"/>
      <w:r>
        <w:rPr>
          <w:color w:val="000000"/>
        </w:rPr>
        <w:lastRenderedPageBreak/>
        <w:t>Информационные кадры.</w:t>
      </w:r>
      <w:bookmarkEnd w:id="53"/>
      <w:bookmarkEnd w:id="54"/>
    </w:p>
    <w:p w14:paraId="4F7CDA03" w14:textId="77777777" w:rsidR="00803C76" w:rsidRDefault="00803C76" w:rsidP="00803C76">
      <w:pPr>
        <w:pStyle w:val="13"/>
        <w:ind w:firstLine="709"/>
        <w:jc w:val="both"/>
      </w:pPr>
      <w:r>
        <w:rPr>
          <w:b/>
          <w:bCs/>
          <w:color w:val="000000"/>
          <w:lang w:val="en-US" w:eastAsia="en-US" w:bidi="en-US"/>
        </w:rPr>
        <w:t>DAT</w:t>
      </w:r>
      <w:r>
        <w:rPr>
          <w:b/>
          <w:bCs/>
          <w:color w:val="000000"/>
        </w:rPr>
        <w:t>-кадр</w:t>
      </w:r>
    </w:p>
    <w:p w14:paraId="03C47C63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 xml:space="preserve">Поскольку </w:t>
      </w:r>
      <w:r>
        <w:rPr>
          <w:b/>
          <w:bCs/>
          <w:color w:val="000000"/>
        </w:rPr>
        <w:t>кадры имеют переменную длину</w:t>
      </w:r>
      <w:r>
        <w:rPr>
          <w:color w:val="000000"/>
        </w:rPr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1109DB76" w14:textId="1235647B" w:rsidR="00803C76" w:rsidRDefault="00803C76" w:rsidP="00803C76">
      <w:pPr>
        <w:pStyle w:val="13"/>
        <w:tabs>
          <w:tab w:val="left" w:pos="7618"/>
        </w:tabs>
        <w:spacing w:after="140"/>
        <w:ind w:firstLine="709"/>
        <w:jc w:val="both"/>
      </w:pPr>
      <w:r>
        <w:rPr>
          <w:color w:val="000000"/>
        </w:rPr>
        <w:t>Информационные кадры применяются для передачи закодированных</w:t>
      </w:r>
      <w:r>
        <w:t xml:space="preserve"> </w:t>
      </w:r>
      <w:r>
        <w:rPr>
          <w:color w:val="000000"/>
        </w:rPr>
        <w:t>кодом Хемминга пользовательских сообщений.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2002"/>
        <w:gridCol w:w="2006"/>
      </w:tblGrid>
      <w:tr w:rsidR="00803C76" w14:paraId="7209483C" w14:textId="77777777" w:rsidTr="00803C76">
        <w:trPr>
          <w:trHeight w:hRule="exact" w:val="336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234FF5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5167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AB5C8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</w:tr>
      <w:tr w:rsidR="00803C76" w14:paraId="13C24607" w14:textId="77777777" w:rsidTr="00803C76">
        <w:trPr>
          <w:trHeight w:hRule="exact" w:val="131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25118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1EE321" w14:textId="7ED754DB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C3678" w14:textId="255C7CC1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Закодированные данные (текстовая строка)</w:t>
            </w:r>
          </w:p>
        </w:tc>
      </w:tr>
    </w:tbl>
    <w:p w14:paraId="1F05495F" w14:textId="77777777" w:rsidR="00803C76" w:rsidRDefault="00803C76" w:rsidP="00803C76">
      <w:pPr>
        <w:spacing w:after="479" w:line="1" w:lineRule="exact"/>
        <w:rPr>
          <w:rFonts w:ascii="Courier New" w:hAnsi="Courier New" w:cs="Courier New"/>
          <w:color w:val="000000"/>
          <w:lang w:bidi="ru-RU"/>
        </w:rPr>
      </w:pPr>
    </w:p>
    <w:p w14:paraId="28DC7849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Кадр можно разделить на несколько блоков - флаг начала кадра, тип кадра, данные.</w:t>
      </w:r>
    </w:p>
    <w:p w14:paraId="6C872D90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18EBE068" w14:textId="77777777" w:rsidR="00803C76" w:rsidRDefault="00803C76" w:rsidP="00803C76">
      <w:pPr>
        <w:pStyle w:val="13"/>
        <w:ind w:firstLine="709"/>
        <w:jc w:val="both"/>
      </w:pPr>
      <w:bookmarkStart w:id="55" w:name="bookmark67"/>
      <w:r>
        <w:rPr>
          <w:color w:val="000000"/>
        </w:rP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  <w:bookmarkEnd w:id="55"/>
    </w:p>
    <w:p w14:paraId="2C0CA942" w14:textId="77777777" w:rsidR="00803C76" w:rsidRDefault="00803C76" w:rsidP="00803C76">
      <w:pPr>
        <w:pStyle w:val="15"/>
        <w:keepNext/>
        <w:keepLines/>
        <w:numPr>
          <w:ilvl w:val="0"/>
          <w:numId w:val="13"/>
        </w:numPr>
        <w:tabs>
          <w:tab w:val="left" w:pos="411"/>
        </w:tabs>
      </w:pPr>
      <w:bookmarkStart w:id="56" w:name="bookmark68"/>
      <w:bookmarkStart w:id="57" w:name="_Toc98003436"/>
      <w:r>
        <w:rPr>
          <w:color w:val="000000"/>
        </w:rPr>
        <w:t>Прикладной уровень</w:t>
      </w:r>
      <w:bookmarkEnd w:id="56"/>
      <w:bookmarkEnd w:id="57"/>
    </w:p>
    <w:p w14:paraId="58A07E3D" w14:textId="7CC61AA5" w:rsidR="00D7457D" w:rsidRPr="00803C76" w:rsidRDefault="00803C76" w:rsidP="00803C76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803C76">
        <w:rPr>
          <w:rFonts w:ascii="Times New Roman" w:hAnsi="Times New Roman"/>
          <w:sz w:val="28"/>
          <w:szCs w:val="28"/>
        </w:rPr>
        <w:t>Функции прикладного уровня обеспечивают интерфейс программы с пользователем.</w:t>
      </w:r>
    </w:p>
    <w:sectPr w:rsidR="00D7457D" w:rsidRPr="00803C76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9713" w14:textId="77777777" w:rsidR="006035C1" w:rsidRDefault="006035C1" w:rsidP="0006392D">
      <w:pPr>
        <w:spacing w:after="0"/>
      </w:pPr>
      <w:r>
        <w:separator/>
      </w:r>
    </w:p>
  </w:endnote>
  <w:endnote w:type="continuationSeparator" w:id="0">
    <w:p w14:paraId="5C21E203" w14:textId="77777777" w:rsidR="006035C1" w:rsidRDefault="006035C1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82C5" w14:textId="77777777" w:rsidR="006035C1" w:rsidRDefault="006035C1" w:rsidP="0006392D">
      <w:pPr>
        <w:spacing w:after="0"/>
      </w:pPr>
      <w:r>
        <w:separator/>
      </w:r>
    </w:p>
  </w:footnote>
  <w:footnote w:type="continuationSeparator" w:id="0">
    <w:p w14:paraId="5CDCABB2" w14:textId="77777777" w:rsidR="006035C1" w:rsidRDefault="006035C1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566980"/>
    <w:multiLevelType w:val="multilevel"/>
    <w:tmpl w:val="1E6C5CB2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11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5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9052B"/>
    <w:rsid w:val="000A0A2B"/>
    <w:rsid w:val="000C33F0"/>
    <w:rsid w:val="000D0C8B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02F3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35C1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2782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3C76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980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D14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165C"/>
    <w:rsid w:val="00D638AD"/>
    <w:rsid w:val="00D64917"/>
    <w:rsid w:val="00D7457D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3FCD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6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6349</Words>
  <Characters>36192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23</cp:revision>
  <cp:lastPrinted>2018-07-26T13:08:00Z</cp:lastPrinted>
  <dcterms:created xsi:type="dcterms:W3CDTF">2022-02-20T06:41:00Z</dcterms:created>
  <dcterms:modified xsi:type="dcterms:W3CDTF">2022-03-12T15:50:00Z</dcterms:modified>
</cp:coreProperties>
</file>