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D18C2" w14:paraId="172A4E41" w14:textId="77777777" w:rsidTr="006D18C2">
        <w:tc>
          <w:tcPr>
            <w:tcW w:w="1383" w:type="dxa"/>
            <w:hideMark/>
          </w:tcPr>
          <w:p w14:paraId="0CB0405A" w14:textId="77777777" w:rsidR="006D18C2" w:rsidRDefault="006D18C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E5B81C" wp14:editId="16D4DF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0A17BA2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2E10E5DF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4F64B1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55D6BB7B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9E34E14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10371A6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CFD942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D08C72A" w14:textId="77777777" w:rsidR="006D18C2" w:rsidRDefault="006D18C2" w:rsidP="006D18C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4CD6EE5" w14:textId="77777777" w:rsidR="006D18C2" w:rsidRDefault="006D18C2" w:rsidP="006D18C2">
      <w:pPr>
        <w:spacing w:after="0"/>
        <w:rPr>
          <w:rFonts w:ascii="Times New Roman" w:hAnsi="Times New Roman"/>
          <w:b/>
          <w:sz w:val="32"/>
        </w:rPr>
      </w:pPr>
    </w:p>
    <w:p w14:paraId="382442D3" w14:textId="77777777" w:rsidR="006D18C2" w:rsidRDefault="006D18C2" w:rsidP="006D18C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</w:t>
      </w:r>
      <w:r w:rsidRPr="006D18C2">
        <w:rPr>
          <w:rFonts w:ascii="Times New Roman" w:hAnsi="Times New Roman"/>
          <w:u w:val="single"/>
        </w:rPr>
        <w:t>Информатика и системы управления</w:t>
      </w:r>
      <w:r>
        <w:rPr>
          <w:rFonts w:ascii="Times New Roman" w:hAnsi="Times New Roman"/>
        </w:rPr>
        <w:t>_________________</w:t>
      </w:r>
    </w:p>
    <w:p w14:paraId="62246740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2999F0D9" w14:textId="77777777" w:rsidR="006D18C2" w:rsidRDefault="006D18C2" w:rsidP="006D18C2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</w:t>
      </w:r>
      <w:r w:rsidRPr="006D18C2">
        <w:rPr>
          <w:rFonts w:ascii="Times New Roman" w:hAnsi="Times New Roman"/>
          <w:iCs/>
          <w:u w:val="single"/>
        </w:rPr>
        <w:t>Системы обработки информации и управления (ИУ5)</w:t>
      </w:r>
      <w:r>
        <w:rPr>
          <w:rFonts w:ascii="Times New Roman" w:hAnsi="Times New Roman"/>
          <w:iCs/>
        </w:rPr>
        <w:t>___________</w:t>
      </w:r>
    </w:p>
    <w:p w14:paraId="11B96C35" w14:textId="77777777" w:rsidR="006D18C2" w:rsidRDefault="006D18C2" w:rsidP="006D18C2">
      <w:pPr>
        <w:spacing w:after="0"/>
        <w:rPr>
          <w:rFonts w:ascii="Times New Roman" w:hAnsi="Times New Roman"/>
          <w:i/>
        </w:rPr>
      </w:pPr>
    </w:p>
    <w:p w14:paraId="1178E9A6" w14:textId="77777777" w:rsidR="006D18C2" w:rsidRDefault="006D18C2" w:rsidP="006D18C2">
      <w:pPr>
        <w:spacing w:after="0"/>
        <w:rPr>
          <w:rFonts w:ascii="Times New Roman" w:hAnsi="Times New Roman"/>
          <w:i/>
          <w:sz w:val="18"/>
        </w:rPr>
      </w:pPr>
    </w:p>
    <w:p w14:paraId="66A84837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60E747AF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23B5FF62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8132147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30F06FFE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13053CE4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«Сетевые технологии в АСОИУ»</w:t>
      </w:r>
    </w:p>
    <w:p w14:paraId="4AFDB398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01DFB3FA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E08248E" w14:textId="08F1A0BC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</w:t>
      </w:r>
      <w:proofErr w:type="spellStart"/>
      <w:r w:rsidRPr="006D18C2">
        <w:rPr>
          <w:rFonts w:ascii="Times New Roman" w:hAnsi="Times New Roman"/>
          <w:b/>
          <w:i/>
          <w:sz w:val="40"/>
          <w:u w:val="single"/>
        </w:rPr>
        <w:t>Программа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пересылки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диалога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>
        <w:rPr>
          <w:rFonts w:ascii="Times New Roman" w:hAnsi="Times New Roman"/>
          <w:b/>
          <w:i/>
          <w:sz w:val="40"/>
        </w:rPr>
        <w:t>______</w:t>
      </w:r>
    </w:p>
    <w:p w14:paraId="196F5846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F9A2336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745A7C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0642835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40B578B9" w14:textId="06DDFEFD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_____</w:t>
      </w:r>
      <w:r w:rsidRPr="006D18C2">
        <w:rPr>
          <w:rFonts w:ascii="Times New Roman" w:hAnsi="Times New Roman"/>
          <w:u w:val="single"/>
        </w:rPr>
        <w:t>ИУ5Ц-8</w:t>
      </w:r>
      <w:r>
        <w:rPr>
          <w:rFonts w:ascii="Times New Roman" w:hAnsi="Times New Roman"/>
          <w:u w:val="single"/>
        </w:rPr>
        <w:t>1</w:t>
      </w:r>
      <w:r w:rsidRPr="006D18C2">
        <w:rPr>
          <w:rFonts w:ascii="Times New Roman" w:hAnsi="Times New Roman"/>
          <w:u w:val="single"/>
        </w:rPr>
        <w:t>Б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  <w:u w:val="single"/>
        </w:rPr>
        <w:t>Е.А.</w:t>
      </w:r>
      <w:r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  <w:u w:val="single"/>
        </w:rPr>
        <w:t>Коротенко</w:t>
      </w:r>
      <w:proofErr w:type="spellEnd"/>
      <w:r>
        <w:rPr>
          <w:rFonts w:ascii="Times New Roman" w:hAnsi="Times New Roman"/>
          <w:b/>
        </w:rPr>
        <w:t xml:space="preserve">___ </w:t>
      </w:r>
    </w:p>
    <w:p w14:paraId="0CE51C10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C7256E5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597C7B29" w14:textId="7DA0105E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Б.А.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Пылаев</w:t>
      </w:r>
      <w:proofErr w:type="spellEnd"/>
      <w:r>
        <w:rPr>
          <w:rFonts w:ascii="Times New Roman" w:hAnsi="Times New Roman"/>
          <w:b/>
        </w:rPr>
        <w:t xml:space="preserve">______ </w:t>
      </w:r>
    </w:p>
    <w:p w14:paraId="178DCA49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59605B2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576559D3" w14:textId="42B570DE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А.Е.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Чиварзин</w:t>
      </w:r>
      <w:proofErr w:type="spellEnd"/>
      <w:r>
        <w:rPr>
          <w:rFonts w:ascii="Times New Roman" w:hAnsi="Times New Roman"/>
          <w:b/>
        </w:rPr>
        <w:t xml:space="preserve">____ </w:t>
      </w:r>
    </w:p>
    <w:p w14:paraId="6633DD86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6EC650C4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49156F6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565FBA87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183AD67" w14:textId="13A83878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_______</w:t>
      </w:r>
      <w:proofErr w:type="spellStart"/>
      <w:r w:rsidRPr="006D18C2">
        <w:rPr>
          <w:rFonts w:ascii="Times New Roman" w:hAnsi="Times New Roman"/>
          <w:b/>
          <w:u w:val="single"/>
        </w:rPr>
        <w:t>В.А.</w:t>
      </w:r>
      <w:r>
        <w:rPr>
          <w:rFonts w:ascii="Times New Roman" w:hAnsi="Times New Roman"/>
          <w:b/>
        </w:rPr>
        <w:t>_</w:t>
      </w:r>
      <w:r w:rsidRPr="006D18C2">
        <w:rPr>
          <w:rFonts w:ascii="Times New Roman" w:hAnsi="Times New Roman"/>
          <w:b/>
          <w:u w:val="single"/>
        </w:rPr>
        <w:t>Галкин</w:t>
      </w:r>
      <w:proofErr w:type="spellEnd"/>
      <w:r>
        <w:rPr>
          <w:rFonts w:ascii="Times New Roman" w:hAnsi="Times New Roman"/>
          <w:b/>
        </w:rPr>
        <w:t xml:space="preserve">__ </w:t>
      </w:r>
    </w:p>
    <w:p w14:paraId="23A01286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(В.А. Галкин)            </w:t>
      </w:r>
    </w:p>
    <w:p w14:paraId="4EF36ACE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6B554FA7" w14:textId="77777777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 w14:paraId="42DDAC4F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D28293E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8C3017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0C1D340A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5762215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6AA72D20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2A7B08E1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4D107AED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2426EB5" w14:textId="0C48B21D" w:rsidR="00497050" w:rsidRPr="00C240C1" w:rsidRDefault="006D18C2" w:rsidP="006D18C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2022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5A98436A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0D1076">
        <w:rPr>
          <w:rFonts w:ascii="Times New Roman" w:hAnsi="Times New Roman"/>
          <w:noProof/>
          <w:u w:val="single"/>
        </w:rPr>
        <w:t>22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5484BF" w14:textId="6FFE8220" w:rsidR="00D6165C" w:rsidRDefault="000D11F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3413" w:history="1">
            <w:r w:rsidR="00D6165C" w:rsidRPr="00116634">
              <w:rPr>
                <w:rStyle w:val="a4"/>
                <w:noProof/>
                <w:lang w:bidi="ru-RU"/>
              </w:rPr>
              <w:t>1.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Введение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C7539AC" w14:textId="6DDC1EF7" w:rsidR="00D6165C" w:rsidRDefault="008D63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4" w:history="1">
            <w:r w:rsidR="00D6165C" w:rsidRPr="00116634">
              <w:rPr>
                <w:rStyle w:val="a4"/>
                <w:noProof/>
                <w:lang w:bidi="ru-RU"/>
              </w:rPr>
              <w:t>2.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183274B9" w14:textId="56FE7147" w:rsidR="00D6165C" w:rsidRDefault="008D63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5" w:history="1">
            <w:r w:rsidR="00D6165C" w:rsidRPr="00116634">
              <w:rPr>
                <w:rStyle w:val="a4"/>
                <w:noProof/>
                <w:lang w:bidi="ru-RU"/>
              </w:rPr>
              <w:t>3.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B4A3A3" w14:textId="173CDD34" w:rsidR="00D6165C" w:rsidRDefault="008D63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6" w:history="1">
            <w:r w:rsidR="00D6165C" w:rsidRPr="00116634">
              <w:rPr>
                <w:rStyle w:val="a4"/>
                <w:noProof/>
                <w:lang w:bidi="ru-RU"/>
              </w:rPr>
              <w:t>4.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Физический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69A87" w14:textId="4A300954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7" w:history="1">
            <w:r w:rsidR="00D6165C" w:rsidRPr="00116634">
              <w:rPr>
                <w:rStyle w:val="a4"/>
                <w:noProof/>
                <w:lang w:bidi="ru-RU"/>
              </w:rPr>
              <w:t>4.1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D6165C" w:rsidRPr="00116634">
              <w:rPr>
                <w:rStyle w:val="a4"/>
                <w:noProof/>
                <w:lang w:val="en-US" w:bidi="en-US"/>
              </w:rPr>
              <w:t>RS-232-C.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D92FF9C" w14:textId="12FB3016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8" w:history="1">
            <w:r w:rsidR="00D6165C" w:rsidRPr="00116634">
              <w:rPr>
                <w:rStyle w:val="a4"/>
                <w:noProof/>
                <w:lang w:bidi="ru-RU"/>
              </w:rPr>
              <w:t>4.2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Нуль-модемный интерфейс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8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650A52" w14:textId="356F8695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9" w:history="1">
            <w:r w:rsidR="00D6165C" w:rsidRPr="00116634">
              <w:rPr>
                <w:rStyle w:val="a4"/>
                <w:noProof/>
                <w:lang w:val="en-US" w:bidi="en-US"/>
              </w:rPr>
              <w:t>4.2.1.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Настройка </w:t>
            </w:r>
            <w:r w:rsidR="00D6165C" w:rsidRPr="00116634">
              <w:rPr>
                <w:rStyle w:val="a4"/>
                <w:noProof/>
                <w:lang w:val="en-US" w:bidi="en-US"/>
              </w:rPr>
              <w:t>COM</w:t>
            </w:r>
            <w:r w:rsidR="00D6165C" w:rsidRPr="00116634">
              <w:rPr>
                <w:rStyle w:val="a4"/>
                <w:noProof/>
              </w:rPr>
              <w:t xml:space="preserve">-порта средствами библиотеки для </w:t>
            </w:r>
            <w:r w:rsidR="00D6165C" w:rsidRPr="00116634">
              <w:rPr>
                <w:rStyle w:val="a4"/>
                <w:noProof/>
                <w:lang w:val="en-US" w:bidi="en-US"/>
              </w:rPr>
              <w:t>C</w:t>
            </w:r>
            <w:r w:rsidR="00D6165C" w:rsidRPr="00116634">
              <w:rPr>
                <w:rStyle w:val="a4"/>
                <w:noProof/>
                <w:lang w:bidi="en-US"/>
              </w:rPr>
              <w:t>#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E49AF00" w14:textId="7C49BCE4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0" w:history="1">
            <w:r w:rsidR="00D6165C" w:rsidRPr="00116634">
              <w:rPr>
                <w:rStyle w:val="a4"/>
                <w:noProof/>
                <w:lang w:val="en-US" w:bidi="en-US"/>
              </w:rPr>
              <w:t>4.2.2.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Описание класса </w:t>
            </w:r>
            <w:r w:rsidR="00D6165C" w:rsidRPr="00116634">
              <w:rPr>
                <w:rStyle w:val="a4"/>
                <w:noProof/>
                <w:lang w:val="en-US" w:bidi="en-US"/>
              </w:rPr>
              <w:t>SerialPort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BCB6A38" w14:textId="2F2B389D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1" w:history="1">
            <w:r w:rsidR="00D6165C" w:rsidRPr="00116634">
              <w:rPr>
                <w:rStyle w:val="a4"/>
                <w:b/>
                <w:bCs/>
                <w:noProof/>
                <w:lang w:val="en-US" w:bidi="en-US"/>
              </w:rPr>
              <w:t>4.2.3.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b/>
                <w:bCs/>
                <w:noProof/>
              </w:rPr>
              <w:t>Конструкторы класса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5B6AA4E" w14:textId="0F8564D0" w:rsidR="00D6165C" w:rsidRDefault="008D6307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2" w:history="1">
            <w:r w:rsidR="00D6165C" w:rsidRPr="00116634">
              <w:rPr>
                <w:rStyle w:val="a4"/>
                <w:noProof/>
              </w:rPr>
              <w:t>4.3. Функции физического уровня.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BB04283" w14:textId="0D024A23" w:rsidR="00D6165C" w:rsidRDefault="008D6307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3" w:history="1">
            <w:r w:rsidR="00D6165C" w:rsidRPr="00116634">
              <w:rPr>
                <w:rStyle w:val="a4"/>
                <w:noProof/>
              </w:rPr>
              <w:t>4.4.1. Открытие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3F45CB3" w14:textId="4F6F10D8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4" w:history="1">
            <w:r w:rsidR="00D6165C" w:rsidRPr="00116634">
              <w:rPr>
                <w:rStyle w:val="a4"/>
                <w:noProof/>
                <w:lang w:bidi="ru-RU"/>
              </w:rPr>
              <w:t>4.4.2.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0953951" w14:textId="0763528D" w:rsidR="00D6165C" w:rsidRDefault="008D6307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5" w:history="1">
            <w:r w:rsidR="00D6165C" w:rsidRPr="00116634">
              <w:rPr>
                <w:rStyle w:val="a4"/>
                <w:noProof/>
                <w:lang w:bidi="ru-RU"/>
              </w:rPr>
              <w:t>4.4.3.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Передача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7C47652" w14:textId="10DF69B3" w:rsidR="00D6165C" w:rsidRDefault="008D6307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6" w:history="1">
            <w:r w:rsidR="00D6165C" w:rsidRPr="00116634">
              <w:rPr>
                <w:rStyle w:val="a4"/>
                <w:noProof/>
              </w:rPr>
              <w:t>4.4.4. Прием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C13D6" w14:textId="268E04ED" w:rsidR="00D6165C" w:rsidRDefault="008D63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27" w:history="1">
            <w:r w:rsidR="00D6165C" w:rsidRPr="00116634">
              <w:rPr>
                <w:rStyle w:val="a4"/>
                <w:noProof/>
                <w:lang w:bidi="ru-RU"/>
              </w:rPr>
              <w:t>5.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Канальный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F91DB46" w14:textId="177D5A57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8" w:history="1">
            <w:r w:rsidR="00D6165C" w:rsidRPr="00116634">
              <w:rPr>
                <w:rStyle w:val="a4"/>
                <w:noProof/>
                <w:lang w:bidi="ru-RU"/>
              </w:rPr>
              <w:t>5.1.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Функции канального уровня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995E0CD" w14:textId="0DCA5DA7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9" w:history="1">
            <w:r w:rsidR="00D6165C" w:rsidRPr="00116634">
              <w:rPr>
                <w:rStyle w:val="a4"/>
                <w:noProof/>
                <w:lang w:bidi="ru-RU"/>
              </w:rPr>
              <w:t>5.2.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Протокол связи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5DDE02D" w14:textId="58EC9924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0" w:history="1">
            <w:r w:rsidR="00D6165C" w:rsidRPr="00116634">
              <w:rPr>
                <w:rStyle w:val="a4"/>
                <w:noProof/>
                <w:lang w:bidi="ru-RU"/>
              </w:rPr>
              <w:t>5.3.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Защита передаваемой информации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BEE1808" w14:textId="0003D791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1" w:history="1">
            <w:r w:rsidR="00D6165C" w:rsidRPr="00116634">
              <w:rPr>
                <w:rStyle w:val="a4"/>
                <w:noProof/>
                <w:lang w:bidi="ru-RU"/>
              </w:rPr>
              <w:t>5.4.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Кодирование кодом Хемминга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17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81CC425" w14:textId="71BFB90D" w:rsidR="00D6165C" w:rsidRDefault="008D6307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2" w:history="1">
            <w:r w:rsidR="00D6165C" w:rsidRPr="00116634">
              <w:rPr>
                <w:rStyle w:val="a4"/>
                <w:noProof/>
                <w:lang w:bidi="ru-RU"/>
              </w:rPr>
              <w:t>5.5.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Форматы кадров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9DA617" w14:textId="70FA219B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3" w:history="1">
            <w:r w:rsidR="00D6165C" w:rsidRPr="00116634">
              <w:rPr>
                <w:rStyle w:val="a4"/>
                <w:noProof/>
                <w:lang w:bidi="ru-RU"/>
              </w:rPr>
              <w:t>5.1.1.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Служебные супервизорные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4F9BAB6" w14:textId="3AD5B660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4" w:history="1">
            <w:r w:rsidR="00D6165C" w:rsidRPr="00116634">
              <w:rPr>
                <w:rStyle w:val="a4"/>
                <w:noProof/>
                <w:lang w:bidi="ru-RU"/>
              </w:rPr>
              <w:t>5.1.2.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Супервизорные кадры передачи параметров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7CC9B6" w14:textId="4009501E" w:rsidR="00D6165C" w:rsidRDefault="008D6307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5" w:history="1">
            <w:r w:rsidR="00D6165C" w:rsidRPr="00116634">
              <w:rPr>
                <w:rStyle w:val="a4"/>
                <w:noProof/>
                <w:lang w:bidi="ru-RU"/>
              </w:rPr>
              <w:t>5.1.3.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Информационные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D530CAE" w14:textId="6D2F5D21" w:rsidR="00D6165C" w:rsidRDefault="008D63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36" w:history="1">
            <w:r w:rsidR="00D6165C" w:rsidRPr="00116634">
              <w:rPr>
                <w:rStyle w:val="a4"/>
                <w:noProof/>
                <w:lang w:bidi="ru-RU"/>
              </w:rPr>
              <w:t>6.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Прикладной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FA44DD4" w14:textId="061A4695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8003413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8003414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8003415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8003416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8003417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CTS (Clear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8003418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8003419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8D6307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8D6307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8003420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bookmarkStart w:id="20" w:name="_Toc98003421"/>
      <w:r>
        <w:rPr>
          <w:b/>
          <w:bCs/>
          <w:color w:val="000000"/>
        </w:rPr>
        <w:t>Конструкторы класса</w:t>
      </w:r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8D6307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8D6307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31" w:history="1">
              <w:bookmarkStart w:id="21" w:name="bookmark26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3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41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4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6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6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6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8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84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8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8D6307">
            <w:pPr>
              <w:pStyle w:val="afb"/>
              <w:spacing w:line="240" w:lineRule="auto"/>
              <w:ind w:firstLine="0"/>
            </w:pPr>
            <w:hyperlink r:id="rId86" w:history="1">
              <w:bookmarkStart w:id="22" w:name="bookmark27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WriteLine(String)</w:t>
              </w:r>
              <w:bookmarkEnd w:id="22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3" w:name="bookmark28"/>
      <w:bookmarkStart w:id="24" w:name="_Toc98003422"/>
      <w:r>
        <w:rPr>
          <w:color w:val="000000"/>
        </w:rPr>
        <w:t>4.3. Функции физического уровня.</w:t>
      </w:r>
      <w:bookmarkEnd w:id="23"/>
      <w:bookmarkEnd w:id="24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5" w:name="bookmark30"/>
      <w:bookmarkStart w:id="26" w:name="_Toc98003423"/>
      <w:r>
        <w:rPr>
          <w:color w:val="000000"/>
        </w:rPr>
        <w:t>4.4.1. Открытие порта</w:t>
      </w:r>
      <w:bookmarkEnd w:id="25"/>
      <w:bookmarkEnd w:id="26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 xml:space="preserve">().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8D6307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8D6307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8D6307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8D6307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8D6307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7" w:name="bookmark32"/>
      <w:bookmarkStart w:id="28" w:name="_Toc98003424"/>
      <w:r>
        <w:rPr>
          <w:color w:val="000000"/>
        </w:rPr>
        <w:t>Закрытие порта</w:t>
      </w:r>
      <w:bookmarkEnd w:id="27"/>
      <w:bookmarkEnd w:id="28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 xml:space="preserve">()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9" w:name="bookmark34"/>
      <w:bookmarkStart w:id="30" w:name="_Toc98003425"/>
      <w:r>
        <w:rPr>
          <w:color w:val="000000"/>
        </w:rPr>
        <w:lastRenderedPageBreak/>
        <w:t>Передача данных</w:t>
      </w:r>
      <w:bookmarkEnd w:id="29"/>
      <w:bookmarkEnd w:id="30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1" w:name="bookmark36"/>
      <w:bookmarkStart w:id="32" w:name="_Toc98003426"/>
      <w:r>
        <w:rPr>
          <w:color w:val="000000"/>
        </w:rPr>
        <w:t>4.4.4. Прием данных</w:t>
      </w:r>
      <w:bookmarkEnd w:id="31"/>
      <w:bookmarkEnd w:id="32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3" w:name="bookmark38"/>
      <w:bookmarkStart w:id="34" w:name="_Toc98003427"/>
      <w:r>
        <w:rPr>
          <w:color w:val="000000"/>
        </w:rPr>
        <w:t>Канальный уровень</w:t>
      </w:r>
      <w:bookmarkEnd w:id="33"/>
      <w:bookmarkEnd w:id="34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5" w:name="_Toc98003428"/>
      <w:r>
        <w:rPr>
          <w:color w:val="000000"/>
        </w:rPr>
        <w:t>Функции канального уровня</w:t>
      </w:r>
      <w:bookmarkEnd w:id="35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6" w:name="bookmark41"/>
      <w:bookmarkStart w:id="37" w:name="bookmark42"/>
      <w:r>
        <w:rPr>
          <w:color w:val="000000"/>
        </w:rPr>
        <w:t>На канальном уровне должны выполняться следующие функции:</w:t>
      </w:r>
      <w:bookmarkEnd w:id="36"/>
      <w:bookmarkEnd w:id="37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8" w:name="bookmark43"/>
      <w:r>
        <w:rPr>
          <w:color w:val="000000"/>
        </w:rPr>
        <w:t>Запрос на разъединение логического соединения.</w:t>
      </w:r>
      <w:bookmarkEnd w:id="38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9" w:name="bookmark44"/>
      <w:bookmarkStart w:id="40" w:name="_Toc98003429"/>
      <w:r>
        <w:rPr>
          <w:color w:val="000000"/>
        </w:rPr>
        <w:t>Протокол связи</w:t>
      </w:r>
      <w:bookmarkEnd w:id="39"/>
      <w:bookmarkEnd w:id="40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1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1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2" w:name="bookmark47"/>
      <w:bookmarkStart w:id="43" w:name="_Toc98003430"/>
      <w:r>
        <w:rPr>
          <w:color w:val="000000"/>
        </w:rPr>
        <w:t>Защита передаваемой информации</w:t>
      </w:r>
      <w:bookmarkEnd w:id="42"/>
      <w:bookmarkEnd w:id="43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4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4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5" w:name="bookmark50"/>
      <w:bookmarkStart w:id="46" w:name="_Toc9800343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5"/>
      <w:r>
        <w:rPr>
          <w:color w:val="000000"/>
        </w:rPr>
        <w:t xml:space="preserve"> кодом Хемминга</w:t>
      </w:r>
      <w:bookmarkEnd w:id="46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блоки фиксированной длины и ввода в них контрольных бит, дополняющих до четности несколько пересекающихся групп, охватывающих все биты блока.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8D6307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47" w:name="_Toc98003432"/>
      <w:r>
        <w:rPr>
          <w:color w:val="000000"/>
        </w:rPr>
        <w:t>Форматы кадров</w:t>
      </w:r>
      <w:bookmarkEnd w:id="47"/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8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8"/>
    </w:p>
    <w:p w14:paraId="4A9C20AD" w14:textId="77777777" w:rsidR="00803C76" w:rsidRDefault="00803C76" w:rsidP="00D6165C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  <w:outlineLvl w:val="2"/>
      </w:pPr>
      <w:bookmarkStart w:id="49" w:name="bookmark61"/>
      <w:bookmarkStart w:id="50" w:name="_Toc98003433"/>
      <w:r>
        <w:rPr>
          <w:color w:val="000000"/>
        </w:rPr>
        <w:t>Служебные супервизорные кадры.</w:t>
      </w:r>
      <w:bookmarkEnd w:id="49"/>
      <w:bookmarkEnd w:id="50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 xml:space="preserve">–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outlineLvl w:val="2"/>
        <w:rPr>
          <w:lang w:bidi="ru-RU"/>
        </w:rPr>
      </w:pPr>
      <w:bookmarkStart w:id="51" w:name="bookmark63"/>
      <w:bookmarkStart w:id="52" w:name="_Toc98003434"/>
      <w:r>
        <w:rPr>
          <w:color w:val="000000"/>
        </w:rPr>
        <w:t>Супервизорные кадры передачи параметров</w:t>
      </w:r>
      <w:bookmarkEnd w:id="51"/>
      <w:bookmarkEnd w:id="52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о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  <w:outlineLvl w:val="2"/>
      </w:pPr>
      <w:bookmarkStart w:id="53" w:name="bookmark65"/>
      <w:bookmarkStart w:id="54" w:name="_Toc98003435"/>
      <w:r>
        <w:rPr>
          <w:color w:val="000000"/>
        </w:rPr>
        <w:lastRenderedPageBreak/>
        <w:t>Информационные кадры.</w:t>
      </w:r>
      <w:bookmarkEnd w:id="53"/>
      <w:bookmarkEnd w:id="54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 закодированных</w:t>
      </w:r>
      <w:r>
        <w:t xml:space="preserve"> </w:t>
      </w:r>
      <w:r>
        <w:rPr>
          <w:color w:val="000000"/>
        </w:rPr>
        <w:t>кодом Хемминга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5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5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6" w:name="bookmark68"/>
      <w:bookmarkStart w:id="57" w:name="_Toc98003436"/>
      <w:r>
        <w:rPr>
          <w:color w:val="000000"/>
        </w:rPr>
        <w:t>Прикладной уровень</w:t>
      </w:r>
      <w:bookmarkEnd w:id="56"/>
      <w:bookmarkEnd w:id="57"/>
    </w:p>
    <w:p w14:paraId="58A07E3D" w14:textId="7AD4BA66" w:rsidR="00D7457D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p w14:paraId="41B2ADEE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32"/>
          <w:szCs w:val="32"/>
          <w:lang w:eastAsia="ru-RU"/>
        </w:rPr>
      </w:pPr>
      <w:r w:rsidRPr="004524F4">
        <w:rPr>
          <w:rFonts w:ascii="Times New Roman" w:hAnsi="Times New Roman"/>
          <w:sz w:val="28"/>
          <w:szCs w:val="28"/>
        </w:rPr>
        <w:t>На данном уровне обеспечивается вывод принятых и отправленных сообщений в окно диалога пользователей.</w:t>
      </w:r>
    </w:p>
    <w:p w14:paraId="7EC75DF9" w14:textId="5C0948A4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Пользовательский интерфейс выполнен в среде </w:t>
      </w:r>
      <w:r w:rsidRPr="004524F4">
        <w:rPr>
          <w:rFonts w:ascii="Times New Roman" w:hAnsi="Times New Roman"/>
          <w:sz w:val="28"/>
          <w:szCs w:val="28"/>
          <w:lang w:val="en-US"/>
        </w:rPr>
        <w:t>Visual</w:t>
      </w:r>
      <w:r w:rsidRPr="004524F4">
        <w:rPr>
          <w:rFonts w:ascii="Times New Roman" w:hAnsi="Times New Roman"/>
          <w:sz w:val="28"/>
          <w:szCs w:val="28"/>
        </w:rPr>
        <w:t xml:space="preserve"> </w:t>
      </w:r>
      <w:r w:rsidRPr="004524F4">
        <w:rPr>
          <w:rFonts w:ascii="Times New Roman" w:hAnsi="Times New Roman"/>
          <w:sz w:val="28"/>
          <w:szCs w:val="28"/>
          <w:lang w:val="en-US"/>
        </w:rPr>
        <w:t>Studio</w:t>
      </w:r>
      <w:r w:rsidRPr="004524F4">
        <w:rPr>
          <w:rFonts w:ascii="Times New Roman" w:hAnsi="Times New Roman"/>
          <w:sz w:val="28"/>
          <w:szCs w:val="28"/>
        </w:rPr>
        <w:t xml:space="preserve"> 2022. При его разработке учитывались рекомендации по простоте, удобству и функциональности интерфейса.</w:t>
      </w:r>
    </w:p>
    <w:p w14:paraId="416D037B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E2B606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 xml:space="preserve">При запуске программы появляется форма, в которой происходит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 xml:space="preserve">-портов компьютера (см рис. </w:t>
      </w:r>
      <w:r w:rsidRPr="004524F4">
        <w:rPr>
          <w:rFonts w:ascii="Times New Roman" w:hAnsi="Times New Roman"/>
          <w:sz w:val="28"/>
          <w:szCs w:val="28"/>
        </w:rPr>
        <w:fldChar w:fldCharType="begin"/>
      </w:r>
      <w:r w:rsidRPr="004524F4">
        <w:rPr>
          <w:rFonts w:ascii="Times New Roman" w:hAnsi="Times New Roman"/>
          <w:sz w:val="28"/>
          <w:szCs w:val="28"/>
        </w:rPr>
        <w:instrText xml:space="preserve"> REF _Ref277532585 \h  \* MERGEFORMAT </w:instrText>
      </w:r>
      <w:r w:rsidRPr="004524F4">
        <w:rPr>
          <w:rFonts w:ascii="Times New Roman" w:hAnsi="Times New Roman"/>
          <w:sz w:val="28"/>
          <w:szCs w:val="28"/>
        </w:rPr>
      </w:r>
      <w:r w:rsidRPr="004524F4">
        <w:rPr>
          <w:rFonts w:ascii="Times New Roman" w:hAnsi="Times New Roman"/>
          <w:sz w:val="28"/>
          <w:szCs w:val="28"/>
        </w:rPr>
        <w:fldChar w:fldCharType="separate"/>
      </w:r>
      <w:r w:rsidRPr="004524F4">
        <w:rPr>
          <w:rFonts w:ascii="Times New Roman" w:hAnsi="Times New Roman"/>
          <w:vanish/>
          <w:sz w:val="28"/>
          <w:szCs w:val="28"/>
        </w:rPr>
        <w:t>Рисунок</w:t>
      </w:r>
      <w:r w:rsidRPr="004524F4">
        <w:rPr>
          <w:rFonts w:ascii="Times New Roman" w:hAnsi="Times New Roman"/>
          <w:sz w:val="28"/>
          <w:szCs w:val="28"/>
        </w:rPr>
        <w:t xml:space="preserve"> 2</w:t>
      </w:r>
      <w:r w:rsidRPr="004524F4">
        <w:rPr>
          <w:rFonts w:ascii="Times New Roman" w:hAnsi="Times New Roman"/>
          <w:sz w:val="28"/>
          <w:szCs w:val="28"/>
        </w:rPr>
        <w:fldChar w:fldCharType="end"/>
      </w:r>
      <w:r w:rsidRPr="004524F4">
        <w:rPr>
          <w:rFonts w:ascii="Times New Roman" w:hAnsi="Times New Roman"/>
          <w:sz w:val="28"/>
          <w:szCs w:val="28"/>
        </w:rPr>
        <w:t>).</w:t>
      </w:r>
    </w:p>
    <w:p w14:paraId="311EE7C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9AF71C7" w14:textId="399E6AD7" w:rsidR="004524F4" w:rsidRPr="004524F4" w:rsidRDefault="004524F4" w:rsidP="004524F4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       </w:t>
      </w:r>
      <w:r w:rsidRPr="004524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758723" wp14:editId="25AE58EA">
            <wp:extent cx="6119495" cy="4163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BA7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Рис. 2  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>-портов устройства</w:t>
      </w:r>
    </w:p>
    <w:p w14:paraId="2D88EEF0" w14:textId="47D61EF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6ECE81" wp14:editId="41F536D4">
            <wp:extent cx="3353268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E2F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Рис. 3   Ввод имени пользователя</w:t>
      </w:r>
    </w:p>
    <w:p w14:paraId="23B5787A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3DBAD47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Главным окном программы является окно «Чат». В данной форме есть следующие возможности:</w:t>
      </w:r>
    </w:p>
    <w:p w14:paraId="1D931ED0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Подключение – создание соединения между устройствами</w:t>
      </w:r>
    </w:p>
    <w:p w14:paraId="3011D6DF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Отключение – разрыв соединения между устройствами </w:t>
      </w:r>
    </w:p>
    <w:p w14:paraId="376D0387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Отправка – позволяет отправить сообщение пользователю на другое устройство</w:t>
      </w:r>
    </w:p>
    <w:p w14:paraId="6C2D15B3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Просмотр – в секции «Чат» пользователи могут наблюдать их совместную переписку</w:t>
      </w:r>
    </w:p>
    <w:p w14:paraId="18A6750E" w14:textId="77777777" w:rsidR="004524F4" w:rsidRPr="004524F4" w:rsidRDefault="004524F4" w:rsidP="004524F4">
      <w:pPr>
        <w:pStyle w:val="a7"/>
        <w:spacing w:line="360" w:lineRule="auto"/>
        <w:ind w:left="1146"/>
        <w:rPr>
          <w:rFonts w:ascii="Times New Roman" w:hAnsi="Times New Roman"/>
          <w:sz w:val="28"/>
          <w:szCs w:val="28"/>
        </w:rPr>
      </w:pPr>
    </w:p>
    <w:p w14:paraId="44E56BD5" w14:textId="651909A9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948D70" wp14:editId="3A02AA86">
            <wp:extent cx="4591691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AB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  <w:t xml:space="preserve">Рис. 4   Форма </w:t>
      </w:r>
      <w:r w:rsidRPr="004524F4">
        <w:rPr>
          <w:rFonts w:ascii="Times New Roman" w:hAnsi="Times New Roman"/>
          <w:sz w:val="28"/>
          <w:szCs w:val="28"/>
          <w:lang w:val="en-US"/>
        </w:rPr>
        <w:t>“</w:t>
      </w:r>
      <w:r w:rsidRPr="004524F4">
        <w:rPr>
          <w:rFonts w:ascii="Times New Roman" w:hAnsi="Times New Roman"/>
          <w:sz w:val="28"/>
          <w:szCs w:val="28"/>
        </w:rPr>
        <w:t>Чат</w:t>
      </w:r>
      <w:r w:rsidRPr="004524F4">
        <w:rPr>
          <w:rFonts w:ascii="Times New Roman" w:hAnsi="Times New Roman"/>
          <w:sz w:val="28"/>
          <w:szCs w:val="28"/>
          <w:lang w:val="en-US"/>
        </w:rPr>
        <w:t>”</w:t>
      </w:r>
    </w:p>
    <w:p w14:paraId="6DB0DEC3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4DFFD8B5" w14:textId="77777777" w:rsidR="004524F4" w:rsidRPr="004524F4" w:rsidRDefault="004524F4" w:rsidP="00803C76">
      <w:pPr>
        <w:spacing w:after="0"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</w:p>
    <w:sectPr w:rsidR="004524F4" w:rsidRPr="004524F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10AC" w14:textId="77777777" w:rsidR="008D6307" w:rsidRDefault="008D6307" w:rsidP="0006392D">
      <w:pPr>
        <w:spacing w:after="0"/>
      </w:pPr>
      <w:r>
        <w:separator/>
      </w:r>
    </w:p>
  </w:endnote>
  <w:endnote w:type="continuationSeparator" w:id="0">
    <w:p w14:paraId="37366C14" w14:textId="77777777" w:rsidR="008D6307" w:rsidRDefault="008D6307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CBCE" w14:textId="77777777" w:rsidR="008D6307" w:rsidRDefault="008D6307" w:rsidP="0006392D">
      <w:pPr>
        <w:spacing w:after="0"/>
      </w:pPr>
      <w:r>
        <w:separator/>
      </w:r>
    </w:p>
  </w:footnote>
  <w:footnote w:type="continuationSeparator" w:id="0">
    <w:p w14:paraId="0DDED541" w14:textId="77777777" w:rsidR="008D6307" w:rsidRDefault="008D6307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12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6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076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F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6CAA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35C1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8C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307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0E9A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165C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6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99" Type="http://schemas.openxmlformats.org/officeDocument/2006/relationships/image" Target="media/image5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image" Target="media/image3.png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6513</Words>
  <Characters>37126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25</cp:revision>
  <cp:lastPrinted>2018-07-26T13:08:00Z</cp:lastPrinted>
  <dcterms:created xsi:type="dcterms:W3CDTF">2022-02-20T06:41:00Z</dcterms:created>
  <dcterms:modified xsi:type="dcterms:W3CDTF">2022-05-01T08:54:00Z</dcterms:modified>
</cp:coreProperties>
</file>