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Default"/>
        <w:rPr>
          <w:rFonts w:cs="Times New Roman" w:ascii="Times New Roman" w:hAnsi="Times New Roman"/>
          <w:b/>
          <w:bCs/>
        </w:rPr>
      </w:pPr>
      <w:r>
        <w:rPr>
          <w:rFonts w:cs="Times New Roman" w:ascii="Times New Roman" w:hAnsi="Times New Roman"/>
          <w:b/>
          <w:bCs/>
        </w:rPr>
        <w:t xml:space="preserve">F1 Justification of </w:t>
      </w:r>
      <w:r>
        <w:rPr>
          <w:rFonts w:cs="Times New Roman" w:ascii="Times New Roman" w:hAnsi="Times New Roman"/>
          <w:b/>
          <w:bCs/>
          <w:iCs/>
        </w:rPr>
        <w:t>Future Fellowship</w:t>
      </w:r>
      <w:r>
        <w:rPr>
          <w:rFonts w:cs="Times New Roman" w:ascii="Times New Roman" w:hAnsi="Times New Roman"/>
          <w:b/>
          <w:bCs/>
          <w:i/>
          <w:iCs/>
        </w:rPr>
        <w:t xml:space="preserve"> </w:t>
      </w:r>
      <w:r>
        <w:rPr>
          <w:rFonts w:cs="Times New Roman" w:ascii="Times New Roman" w:hAnsi="Times New Roman"/>
          <w:b/>
          <w:bCs/>
        </w:rPr>
        <w:t xml:space="preserve">non-salary funding requested from the ARC </w:t>
      </w:r>
    </w:p>
    <w:p>
      <w:pPr>
        <w:pStyle w:val="Normal"/>
        <w:tabs>
          <w:tab w:val="left" w:pos="426" w:leader="none"/>
          <w:tab w:val="left" w:pos="1262" w:leader="none"/>
        </w:tabs>
        <w:rPr/>
      </w:pPr>
      <w:r>
        <w:rPr/>
      </w:r>
    </w:p>
    <w:p>
      <w:pPr>
        <w:pStyle w:val="Normal"/>
        <w:tabs>
          <w:tab w:val="left" w:pos="426" w:leader="none"/>
          <w:tab w:val="left" w:pos="1262" w:leader="none"/>
        </w:tabs>
        <w:rPr>
          <w:b/>
        </w:rPr>
      </w:pPr>
      <w:r>
        <w:rPr>
          <w:b/>
        </w:rPr>
        <w:t xml:space="preserve">Personnel </w:t>
      </w:r>
    </w:p>
    <w:p>
      <w:pPr>
        <w:pStyle w:val="Normal"/>
        <w:tabs>
          <w:tab w:val="left" w:pos="426" w:leader="none"/>
          <w:tab w:val="left" w:pos="1262" w:leader="none"/>
        </w:tabs>
        <w:rPr>
          <w:i w:val="false"/>
          <w:iCs w:val="false"/>
          <w:u w:val="single"/>
        </w:rPr>
      </w:pPr>
      <w:r>
        <w:rPr>
          <w:i w:val="false"/>
          <w:iCs w:val="false"/>
          <w:u w:val="single"/>
        </w:rPr>
        <w:t>HDR (Higher Degree by Research Stipend)</w:t>
      </w:r>
    </w:p>
    <w:p>
      <w:pPr>
        <w:pStyle w:val="Normal"/>
        <w:tabs>
          <w:tab w:val="left" w:pos="426" w:leader="none"/>
          <w:tab w:val="left" w:pos="1262" w:leader="none"/>
        </w:tabs>
        <w:rPr>
          <w:i w:val="false"/>
          <w:iCs w:val="false"/>
          <w:u w:val="none"/>
        </w:rPr>
      </w:pPr>
      <w:r>
        <w:rPr>
          <w:i w:val="false"/>
          <w:iCs w:val="false"/>
          <w:u w:val="none"/>
        </w:rPr>
        <w:t>The project will hire one PhD student for the duration of his/her PhD (3 years), starting in year 2. This HDR will be funded by the ARC.</w:t>
      </w:r>
    </w:p>
    <w:p>
      <w:pPr>
        <w:pStyle w:val="Normal"/>
        <w:tabs>
          <w:tab w:val="left" w:pos="426" w:leader="none"/>
          <w:tab w:val="left" w:pos="1262" w:leader="none"/>
        </w:tabs>
        <w:rPr/>
      </w:pPr>
      <w:r>
        <w:rPr/>
      </w:r>
    </w:p>
    <w:p>
      <w:pPr>
        <w:pStyle w:val="Normal"/>
        <w:tabs>
          <w:tab w:val="left" w:pos="426" w:leader="none"/>
          <w:tab w:val="left" w:pos="1262" w:leader="none"/>
        </w:tabs>
        <w:rPr>
          <w:u w:val="none"/>
        </w:rPr>
      </w:pPr>
      <w:r>
        <w:rPr>
          <w:u w:val="none"/>
        </w:rPr>
      </w:r>
    </w:p>
    <w:p>
      <w:pPr>
        <w:pStyle w:val="Normal"/>
        <w:tabs>
          <w:tab w:val="left" w:pos="426" w:leader="none"/>
          <w:tab w:val="left" w:pos="1262" w:leader="none"/>
        </w:tabs>
        <w:rPr>
          <w:b/>
        </w:rPr>
      </w:pPr>
      <w:r>
        <w:rPr>
          <w:b/>
        </w:rPr>
        <w:t>Travel</w:t>
      </w:r>
    </w:p>
    <w:p>
      <w:pPr>
        <w:pStyle w:val="Normal"/>
        <w:tabs>
          <w:tab w:val="left" w:pos="426" w:leader="none"/>
          <w:tab w:val="left" w:pos="1262" w:leader="none"/>
        </w:tabs>
        <w:rPr>
          <w:u w:val="single"/>
        </w:rPr>
      </w:pPr>
      <w:r>
        <w:rPr>
          <w:u w:val="single"/>
        </w:rPr>
        <w:t>International Conferences</w:t>
      </w:r>
    </w:p>
    <w:p>
      <w:pPr>
        <w:pStyle w:val="Normal"/>
        <w:tabs>
          <w:tab w:val="left" w:pos="426" w:leader="none"/>
          <w:tab w:val="left" w:pos="1262" w:leader="none"/>
        </w:tabs>
        <w:rPr>
          <w:u w:val="none"/>
        </w:rPr>
      </w:pPr>
      <w:r>
        <w:rPr>
          <w:u w:val="none"/>
        </w:rPr>
        <w:t xml:space="preserve">The main venues for publication and dissemination of research resulting from this proposal are conferences. The review process is extremely tough, and publishing in some ERA A/CORE A* conferences is a mark of the highest quality. The best conferences that are most relevant to this research are IJCAI, AAMAS, AAAI, KR, which are held internationally, e.g., IJCAI will be held in Stockholm (2018), Macau (2019),  Nagoya (2020), Montreal (2021);  KR will be held in Tempe, Arizona (2018). I plan to attend 2 international conferences per year (my co-authors attending the others). Registration ($1020 per conferences);  airfare ($2300); 6 days accommodation ($1200), allowance ($900).  In the first year, IJCAI/AAMAS are co-located, which will save on airfare, accommodation and allowance. </w:t>
      </w:r>
    </w:p>
    <w:p>
      <w:pPr>
        <w:pStyle w:val="Normal"/>
        <w:tabs>
          <w:tab w:val="left" w:pos="426" w:leader="none"/>
          <w:tab w:val="left" w:pos="1262" w:leader="none"/>
        </w:tabs>
        <w:rPr>
          <w:u w:val="none"/>
        </w:rPr>
      </w:pPr>
      <w:r>
        <w:rPr>
          <w:u w:val="none"/>
        </w:rPr>
      </w:r>
    </w:p>
    <w:p>
      <w:pPr>
        <w:pStyle w:val="Normal"/>
        <w:tabs>
          <w:tab w:val="left" w:pos="426" w:leader="none"/>
          <w:tab w:val="left" w:pos="1262" w:leader="none"/>
        </w:tabs>
        <w:rPr>
          <w:u w:val="single"/>
        </w:rPr>
      </w:pPr>
      <w:r>
        <w:rPr>
          <w:u w:val="single"/>
        </w:rPr>
        <w:t>International Workshop co-located with international conferences</w:t>
      </w:r>
    </w:p>
    <w:p>
      <w:pPr>
        <w:pStyle w:val="Normal"/>
        <w:tabs>
          <w:tab w:val="left" w:pos="426" w:leader="none"/>
          <w:tab w:val="left" w:pos="1262" w:leader="none"/>
        </w:tabs>
        <w:rPr>
          <w:u w:val="none"/>
        </w:rPr>
      </w:pPr>
      <w:r>
        <w:rPr>
          <w:u w:val="none"/>
        </w:rPr>
        <w:t>The main venues for discussing work in progress, fostering new collaborations, rapidly disseminating new ideas, and fostering inter-disciplinarity are workshops. Some workshops are annual events co-located with top conferences such as IJCAI and AAMAS. I plan to attend workshops co-located with IJCAI/AAMAS. Registration ($440), 3 day accommodation ($400),  allowance ($300).</w:t>
      </w:r>
    </w:p>
    <w:p>
      <w:pPr>
        <w:pStyle w:val="Normal"/>
        <w:tabs>
          <w:tab w:val="left" w:pos="426" w:leader="none"/>
          <w:tab w:val="left" w:pos="1262" w:leader="none"/>
        </w:tabs>
        <w:rPr>
          <w:u w:val="none"/>
        </w:rPr>
      </w:pPr>
      <w:r>
        <w:rPr>
          <w:u w:val="none"/>
        </w:rPr>
      </w:r>
    </w:p>
    <w:p>
      <w:pPr>
        <w:pStyle w:val="Normal"/>
        <w:tabs>
          <w:tab w:val="left" w:pos="426" w:leader="none"/>
          <w:tab w:val="left" w:pos="1262" w:leader="none"/>
        </w:tabs>
        <w:rPr>
          <w:u w:val="single"/>
        </w:rPr>
      </w:pPr>
      <w:r>
        <w:rPr>
          <w:u w:val="single"/>
        </w:rPr>
        <w:t>Research Visit to international collaborators</w:t>
      </w:r>
    </w:p>
    <w:p>
      <w:pPr>
        <w:pStyle w:val="Normal"/>
        <w:tabs>
          <w:tab w:val="left" w:pos="426" w:leader="none"/>
          <w:tab w:val="left" w:pos="1262" w:leader="none"/>
        </w:tabs>
        <w:rPr>
          <w:u w:val="none"/>
        </w:rPr>
      </w:pPr>
      <w:r>
        <w:rPr>
          <w:u w:val="none"/>
        </w:rPr>
        <w:t>Collaborations with leading experts in formal aspects of artificial intelligence will be strengthened through research visits. In order to maximise productivity, the applicant will spend approximately 4 weeks abroad, per year, on research visits. Over the duration of the 4 years I plan to visit Giuseppe De Giacomo (Italy), Moshe Vardi (USA), Hector Geffner (Spain), Michael Wooldridge (England) and Alessio Lomuscio (England), all world experts in their fields, directly relevant to the project, and have agreed to host and collaborate. Airfare $2000; accommodation $3000; allowance $2100. Whenever possible I will align the research visit with international conferences so as to save on airfare.</w:t>
      </w:r>
    </w:p>
    <w:p>
      <w:pPr>
        <w:pStyle w:val="Normal"/>
        <w:tabs>
          <w:tab w:val="left" w:pos="426" w:leader="none"/>
          <w:tab w:val="left" w:pos="1262" w:leader="none"/>
        </w:tabs>
        <w:rPr>
          <w:u w:val="single"/>
        </w:rPr>
      </w:pPr>
      <w:r>
        <w:rPr>
          <w:u w:val="single"/>
        </w:rPr>
      </w:r>
    </w:p>
    <w:p>
      <w:pPr>
        <w:pStyle w:val="Normal"/>
        <w:tabs>
          <w:tab w:val="left" w:pos="426" w:leader="none"/>
          <w:tab w:val="left" w:pos="1262" w:leader="none"/>
        </w:tabs>
        <w:rPr>
          <w:u w:val="single"/>
        </w:rPr>
      </w:pPr>
      <w:r>
        <w:rPr>
          <w:u w:val="single"/>
        </w:rPr>
        <w:t>Research visit to national collaborators</w:t>
      </w:r>
    </w:p>
    <w:p>
      <w:pPr>
        <w:pStyle w:val="Normal"/>
        <w:tabs>
          <w:tab w:val="left" w:pos="426" w:leader="none"/>
          <w:tab w:val="left" w:pos="1262" w:leader="none"/>
        </w:tabs>
        <w:rPr/>
      </w:pPr>
      <w:r>
        <w:rPr/>
        <w:t>I will establish exchanges with Nir Lipovetsky and Sebastian Sardina, both experts in automated planning based in Melbourne. I will visit them once per year for 1 week (and twice in the first year in order to establish the exchange). Airfare $300; accommodation $1</w:t>
      </w:r>
      <w:r>
        <w:rPr/>
        <w:t>15</w:t>
      </w:r>
      <w:r>
        <w:rPr/>
        <w:t>0; allowance $</w:t>
      </w:r>
      <w:r>
        <w:rPr/>
        <w:t>700</w:t>
      </w:r>
      <w:r>
        <w:rPr/>
        <w:t>.</w:t>
      </w:r>
    </w:p>
    <w:p>
      <w:pPr>
        <w:pStyle w:val="Normal"/>
        <w:tabs>
          <w:tab w:val="left" w:pos="426" w:leader="none"/>
          <w:tab w:val="left" w:pos="1262" w:leader="none"/>
        </w:tabs>
        <w:rPr/>
      </w:pPr>
      <w:r>
        <w:rPr/>
      </w:r>
    </w:p>
    <w:p>
      <w:pPr>
        <w:pStyle w:val="Normal"/>
        <w:tabs>
          <w:tab w:val="left" w:pos="426" w:leader="none"/>
          <w:tab w:val="left" w:pos="1262" w:leader="none"/>
        </w:tabs>
        <w:rPr/>
      </w:pPr>
      <w:r>
        <w:rPr/>
      </w:r>
    </w:p>
    <w:p>
      <w:pPr>
        <w:pStyle w:val="Normal"/>
        <w:tabs>
          <w:tab w:val="left" w:pos="426" w:leader="none"/>
          <w:tab w:val="left" w:pos="1262" w:leader="none"/>
        </w:tabs>
        <w:rPr>
          <w:b/>
        </w:rPr>
      </w:pPr>
      <w:r>
        <w:rPr>
          <w:b/>
        </w:rPr>
        <w:t>Other</w:t>
      </w:r>
    </w:p>
    <w:p>
      <w:pPr>
        <w:pStyle w:val="Normal"/>
        <w:tabs>
          <w:tab w:val="left" w:pos="426" w:leader="none"/>
          <w:tab w:val="left" w:pos="1262" w:leader="none"/>
        </w:tabs>
        <w:rPr>
          <w:u w:val="single"/>
        </w:rPr>
      </w:pPr>
      <w:r>
        <w:rPr>
          <w:u w:val="single"/>
        </w:rPr>
        <w:t>Specialised books</w:t>
      </w:r>
    </w:p>
    <w:p>
      <w:pPr>
        <w:pStyle w:val="Normal"/>
        <w:tabs>
          <w:tab w:val="left" w:pos="426" w:leader="none"/>
          <w:tab w:val="left" w:pos="1262" w:leader="none"/>
        </w:tabs>
        <w:rPr/>
      </w:pPr>
      <w:r>
        <w:rPr/>
        <w:t>Specialised reference books provide relevant overviews of areas as well as detailed and digested exposition of important arguments. I estimate $100 per book.</w:t>
      </w:r>
    </w:p>
    <w:p>
      <w:pPr>
        <w:pStyle w:val="Normal"/>
        <w:tabs>
          <w:tab w:val="left" w:pos="426" w:leader="none"/>
          <w:tab w:val="left" w:pos="1262" w:leader="none"/>
        </w:tabs>
        <w:rPr/>
      </w:pPr>
      <w:r>
        <w:rPr/>
      </w:r>
    </w:p>
    <w:p>
      <w:pPr>
        <w:pStyle w:val="Normal"/>
        <w:tabs>
          <w:tab w:val="left" w:pos="426" w:leader="none"/>
          <w:tab w:val="left" w:pos="1262" w:leader="none"/>
        </w:tabs>
        <w:rPr/>
      </w:pPr>
      <w:r>
        <w:rPr/>
      </w:r>
    </w:p>
    <w:p>
      <w:pPr>
        <w:pStyle w:val="Default"/>
        <w:rPr/>
      </w:pPr>
      <w:r>
        <w:rPr/>
      </w:r>
    </w:p>
    <w:sectPr>
      <w:type w:val="nextPage"/>
      <w:pgSz w:w="11906" w:h="16838"/>
      <w:pgMar w:left="284" w:right="284" w:header="0" w:top="284" w:footer="0" w:bottom="284"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A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26e61"/>
    <w:pPr>
      <w:widowControl/>
      <w:suppressAutoHyphens w:val="true"/>
      <w:bidi w:val="0"/>
      <w:spacing w:lineRule="auto" w:line="240"/>
      <w:jc w:val="left"/>
    </w:pPr>
    <w:rPr>
      <w:rFonts w:ascii="Times New Roman" w:hAnsi="Times New Roman" w:eastAsia="Times New Roman" w:cs="Times New Roman"/>
      <w:color w:val="00000A"/>
      <w:sz w:val="24"/>
      <w:szCs w:val="24"/>
      <w:lang w:val="en-AU" w:eastAsia="en-US" w:bidi="ar-SA"/>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a70f9a"/>
    <w:basedOn w:val="DefaultParagraphFont"/>
    <w:rPr>
      <w:rFonts w:ascii="Times New Roman" w:hAnsi="Times New Roman" w:cs="Times New Roman"/>
      <w:color w:val="0000FF"/>
      <w:u w:val="single"/>
      <w:lang w:val="zxx" w:eastAsia="zxx" w:bidi="zxx"/>
    </w:rPr>
  </w:style>
  <w:style w:type="character" w:styleId="Subsectionheading1" w:customStyle="1">
    <w:name w:val="subsectionheading1"/>
    <w:rsid w:val="00e12382"/>
    <w:rPr>
      <w:rFonts w:ascii="Arial" w:hAnsi="Arial" w:cs="Arial"/>
      <w:b/>
      <w:bCs/>
      <w:vanish w:val="false"/>
      <w:color w:val="555555"/>
      <w:sz w:val="22"/>
      <w:szCs w:val="22"/>
      <w:lang w:val="en-AU" w:eastAsia="en-US" w:bidi="ar-SA"/>
    </w:rPr>
  </w:style>
  <w:style w:type="character" w:styleId="NoSpacingChar" w:customStyle="1">
    <w:name w:val="No Spacing Char"/>
    <w:uiPriority w:val="1"/>
    <w:link w:val="NoSpacing"/>
    <w:rsid w:val="00e12382"/>
    <w:rPr>
      <w:rFonts w:ascii="Calibri" w:hAnsi="Calibri" w:eastAsia="Calibri" w:cs="Times New Roman"/>
      <w:sz w:val="24"/>
      <w:szCs w:val="24"/>
    </w:rPr>
  </w:style>
  <w:style w:type="character" w:styleId="ListParagraphChar" w:customStyle="1">
    <w:name w:val="List Paragraph Char"/>
    <w:uiPriority w:val="34"/>
    <w:link w:val="ListParagraph"/>
    <w:locked/>
    <w:rsid w:val="00e12382"/>
    <w:rPr>
      <w:rFonts w:ascii="Calibri" w:hAnsi="Calibri" w:eastAsia="Calibri" w:cs="Times New Roman"/>
    </w:rPr>
  </w:style>
  <w:style w:type="character" w:styleId="BalloonTextChar" w:customStyle="1">
    <w:name w:val="Balloon Text Char"/>
    <w:uiPriority w:val="99"/>
    <w:semiHidden/>
    <w:link w:val="BalloonText"/>
    <w:rsid w:val="00e12382"/>
    <w:basedOn w:val="DefaultParagraphFont"/>
    <w:rPr>
      <w:rFonts w:ascii="Tahoma" w:hAnsi="Tahoma" w:eastAsia="Times New Roman" w:cs="Tahoma"/>
      <w:sz w:val="16"/>
      <w:szCs w:val="16"/>
    </w:rPr>
  </w:style>
  <w:style w:type="character" w:styleId="DotpointsDEChar" w:customStyle="1">
    <w:name w:val="Dot points DE Char"/>
    <w:link w:val="DotpointsDE"/>
    <w:rsid w:val="00951d19"/>
    <w:rPr>
      <w:rFonts w:ascii="Calibri" w:hAnsi="Calibri" w:eastAsia="Times New Roman" w:cs="Times New Roman"/>
      <w:sz w:val="24"/>
      <w:szCs w:val="24"/>
    </w:rPr>
  </w:style>
  <w:style w:type="character" w:styleId="TextDEChar" w:customStyle="1">
    <w:name w:val="text DE Char"/>
    <w:link w:val="textDE"/>
    <w:rsid w:val="00951d19"/>
    <w:basedOn w:val="DefaultParagraphFont"/>
    <w:rPr>
      <w:rFonts w:ascii="Calibri" w:hAnsi="Calibri" w:eastAsia="Times New Roman" w:cs="Calibri"/>
      <w:sz w:val="24"/>
      <w:lang w:eastAsia="en-AU"/>
    </w:rPr>
  </w:style>
  <w:style w:type="character" w:styleId="ListLabel1">
    <w:name w:val="ListLabel 1"/>
    <w:rPr>
      <w:rFonts w:cs="Courier New"/>
    </w:rPr>
  </w:style>
  <w:style w:type="character" w:styleId="ListLabel2">
    <w:name w:val="ListLabel 2"/>
    <w:rPr>
      <w:rFonts w:cs="Courier New"/>
      <w:color w:val="00000A"/>
      <w:sz w:val="24"/>
    </w:rPr>
  </w:style>
  <w:style w:type="character" w:styleId="ListLabel3">
    <w:name w:val="ListLabel 3"/>
    <w:rPr>
      <w:color w:val="00000A"/>
      <w:sz w:val="20"/>
    </w:rPr>
  </w:style>
  <w:style w:type="character" w:styleId="ListLabel4">
    <w:name w:val="ListLabel 4"/>
    <w:rPr>
      <w:rFonts w:eastAsia="Times New Roman"/>
      <w:color w:val="00000A"/>
      <w:sz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626e61"/>
    <w:pPr>
      <w:widowControl/>
      <w:suppressAutoHyphens w:val="true"/>
      <w:bidi w:val="0"/>
      <w:spacing w:lineRule="auto" w:line="240"/>
      <w:jc w:val="left"/>
    </w:pPr>
    <w:rPr>
      <w:rFonts w:ascii="Calibri" w:hAnsi="Calibri" w:eastAsia="Droid Sans Fallback" w:cs="Calibri"/>
      <w:color w:val="000000"/>
      <w:sz w:val="24"/>
      <w:szCs w:val="24"/>
      <w:lang w:val="en-AU" w:eastAsia="en-US" w:bidi="ar-SA"/>
    </w:rPr>
  </w:style>
  <w:style w:type="paragraph" w:styleId="NoSpacing">
    <w:name w:val="No Spacing"/>
    <w:uiPriority w:val="1"/>
    <w:qFormat/>
    <w:link w:val="NoSpacingChar"/>
    <w:rsid w:val="00e12382"/>
    <w:basedOn w:val="Normal"/>
    <w:pPr>
      <w:spacing w:before="0" w:after="120"/>
      <w:jc w:val="both"/>
    </w:pPr>
    <w:rPr>
      <w:rFonts w:ascii="Calibri" w:hAnsi="Calibri" w:eastAsia="Calibri"/>
    </w:rPr>
  </w:style>
  <w:style w:type="paragraph" w:styleId="ListParagraph">
    <w:name w:val="List Paragraph"/>
    <w:uiPriority w:val="34"/>
    <w:qFormat/>
    <w:link w:val="ListParagraphChar"/>
    <w:rsid w:val="00e12382"/>
    <w:basedOn w:val="Normal"/>
    <w:pPr>
      <w:spacing w:before="120" w:after="0"/>
      <w:ind w:left="720" w:right="0" w:hanging="403"/>
      <w:contextualSpacing/>
    </w:pPr>
    <w:rPr>
      <w:rFonts w:ascii="Calibri" w:hAnsi="Calibri" w:eastAsia="Calibri"/>
      <w:sz w:val="22"/>
      <w:szCs w:val="22"/>
    </w:rPr>
  </w:style>
  <w:style w:type="paragraph" w:styleId="BalloonText">
    <w:name w:val="Balloon Text"/>
    <w:uiPriority w:val="99"/>
    <w:semiHidden/>
    <w:unhideWhenUsed/>
    <w:link w:val="BalloonTextChar"/>
    <w:rsid w:val="00e12382"/>
    <w:basedOn w:val="Normal"/>
    <w:pPr/>
    <w:rPr>
      <w:rFonts w:ascii="Tahoma" w:hAnsi="Tahoma" w:cs="Tahoma"/>
      <w:sz w:val="16"/>
      <w:szCs w:val="16"/>
    </w:rPr>
  </w:style>
  <w:style w:type="paragraph" w:styleId="DotpointsDE" w:customStyle="1">
    <w:name w:val="Dot points DE"/>
    <w:qFormat/>
    <w:link w:val="DotpointsDEChar"/>
    <w:rsid w:val="00951d19"/>
    <w:basedOn w:val="Normal"/>
    <w:pPr>
      <w:tabs>
        <w:tab w:val="left" w:pos="0" w:leader="none"/>
      </w:tabs>
      <w:spacing w:before="60" w:after="60"/>
      <w:ind w:left="1440" w:right="0" w:hanging="448"/>
      <w:jc w:val="both"/>
    </w:pPr>
    <w:rPr>
      <w:rFonts w:ascii="Calibri" w:hAnsi="Calibri"/>
    </w:rPr>
  </w:style>
  <w:style w:type="paragraph" w:styleId="TextDE" w:customStyle="1">
    <w:name w:val="text DE"/>
    <w:qFormat/>
    <w:link w:val="textDEChar"/>
    <w:rsid w:val="00951d19"/>
    <w:basedOn w:val="Normal"/>
    <w:pPr>
      <w:spacing w:before="0" w:after="120"/>
      <w:ind w:left="567" w:right="0" w:hanging="0"/>
      <w:jc w:val="both"/>
    </w:pPr>
    <w:rPr>
      <w:rFonts w:ascii="Calibri" w:hAnsi="Calibri" w:cs="Calibri"/>
      <w:szCs w:val="22"/>
      <w:lang w:eastAsia="en-AU"/>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2017-10-18T01:19:00Z</dcterms:created>
  <dc:creator>Daniel Owens</dc:creator>
  <dc:language>en-GB</dc:language>
  <cp:lastModifiedBy>Courtney Gunn</cp:lastModifiedBy>
  <dcterms:modified xsi:type="dcterms:W3CDTF">2017-10-18T01:19:00Z</dcterms:modified>
  <cp:revision>2</cp:revision>
</cp:coreProperties>
</file>