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6D6" w:rsidRPr="00145C6C" w:rsidRDefault="002C4A4A" w:rsidP="002C4A4A">
      <w:pPr>
        <w:jc w:val="center"/>
        <w:rPr>
          <w:rFonts w:hint="cs"/>
          <w:b/>
          <w:bCs/>
          <w:sz w:val="28"/>
          <w:szCs w:val="28"/>
          <w:rtl/>
        </w:rPr>
      </w:pPr>
      <w:r w:rsidRPr="00145C6C">
        <w:rPr>
          <w:rFonts w:hint="cs"/>
          <w:b/>
          <w:bCs/>
          <w:sz w:val="28"/>
          <w:szCs w:val="28"/>
          <w:rtl/>
        </w:rPr>
        <w:t xml:space="preserve">ניתוח </w:t>
      </w:r>
      <w:r w:rsidR="00B92A77" w:rsidRPr="00145C6C">
        <w:rPr>
          <w:rFonts w:hint="cs"/>
          <w:b/>
          <w:bCs/>
          <w:sz w:val="28"/>
          <w:szCs w:val="28"/>
          <w:rtl/>
        </w:rPr>
        <w:t>ה</w:t>
      </w:r>
      <w:r w:rsidRPr="00145C6C">
        <w:rPr>
          <w:rFonts w:hint="cs"/>
          <w:b/>
          <w:bCs/>
          <w:sz w:val="28"/>
          <w:szCs w:val="28"/>
          <w:rtl/>
        </w:rPr>
        <w:t xml:space="preserve">יצירה </w:t>
      </w:r>
      <w:r w:rsidR="00B92A77" w:rsidRPr="00145C6C">
        <w:rPr>
          <w:rFonts w:hint="cs"/>
          <w:b/>
          <w:bCs/>
          <w:sz w:val="28"/>
          <w:szCs w:val="28"/>
          <w:rtl/>
        </w:rPr>
        <w:t xml:space="preserve">"מגדת העתידות" </w:t>
      </w:r>
      <w:r w:rsidRPr="00145C6C">
        <w:rPr>
          <w:b/>
          <w:bCs/>
          <w:sz w:val="28"/>
          <w:szCs w:val="28"/>
          <w:rtl/>
        </w:rPr>
        <w:t xml:space="preserve">מיכלאנג'לו </w:t>
      </w:r>
      <w:proofErr w:type="spellStart"/>
      <w:r w:rsidRPr="00145C6C">
        <w:rPr>
          <w:b/>
          <w:bCs/>
          <w:sz w:val="28"/>
          <w:szCs w:val="28"/>
          <w:rtl/>
        </w:rPr>
        <w:t>מריזי</w:t>
      </w:r>
      <w:proofErr w:type="spellEnd"/>
      <w:r w:rsidRPr="00145C6C">
        <w:rPr>
          <w:b/>
          <w:bCs/>
          <w:sz w:val="28"/>
          <w:szCs w:val="28"/>
          <w:rtl/>
        </w:rPr>
        <w:t xml:space="preserve"> דה </w:t>
      </w:r>
      <w:proofErr w:type="spellStart"/>
      <w:r w:rsidRPr="00145C6C">
        <w:rPr>
          <w:b/>
          <w:bCs/>
          <w:sz w:val="28"/>
          <w:szCs w:val="28"/>
          <w:rtl/>
        </w:rPr>
        <w:t>קאראווג'ו</w:t>
      </w:r>
      <w:proofErr w:type="spellEnd"/>
      <w:r w:rsidR="00A377E1" w:rsidRPr="00145C6C">
        <w:rPr>
          <w:rFonts w:hint="cs"/>
          <w:b/>
          <w:bCs/>
          <w:sz w:val="28"/>
          <w:szCs w:val="28"/>
          <w:rtl/>
        </w:rPr>
        <w:t>, 1594</w:t>
      </w:r>
    </w:p>
    <w:p w:rsidR="00A377E1" w:rsidRPr="00145C6C" w:rsidRDefault="00A377E1" w:rsidP="002C4A4A">
      <w:pPr>
        <w:jc w:val="center"/>
        <w:rPr>
          <w:sz w:val="28"/>
          <w:szCs w:val="28"/>
          <w:rtl/>
        </w:rPr>
      </w:pPr>
      <w:r w:rsidRPr="00145C6C">
        <w:rPr>
          <w:sz w:val="28"/>
          <w:szCs w:val="28"/>
        </w:rPr>
        <w:t> </w:t>
      </w:r>
      <w:r w:rsidRPr="00145C6C">
        <w:rPr>
          <w:sz w:val="28"/>
          <w:szCs w:val="28"/>
        </w:rPr>
        <w:t xml:space="preserve">Michelangelo </w:t>
      </w:r>
      <w:proofErr w:type="spellStart"/>
      <w:r w:rsidRPr="00145C6C">
        <w:rPr>
          <w:sz w:val="28"/>
          <w:szCs w:val="28"/>
        </w:rPr>
        <w:t>Merisi</w:t>
      </w:r>
      <w:proofErr w:type="spellEnd"/>
      <w:r w:rsidRPr="00145C6C">
        <w:rPr>
          <w:sz w:val="28"/>
          <w:szCs w:val="28"/>
        </w:rPr>
        <w:t xml:space="preserve"> da Caravaggio</w:t>
      </w:r>
      <w:r w:rsidRPr="00145C6C">
        <w:rPr>
          <w:sz w:val="28"/>
          <w:szCs w:val="28"/>
        </w:rPr>
        <w:t>, "The fortune teller" 1594</w:t>
      </w:r>
    </w:p>
    <w:p w:rsidR="00145C6C" w:rsidRPr="00145C6C" w:rsidRDefault="00145C6C" w:rsidP="002C4A4A">
      <w:pPr>
        <w:jc w:val="center"/>
        <w:rPr>
          <w:rFonts w:hint="cs"/>
          <w:sz w:val="24"/>
          <w:szCs w:val="24"/>
          <w:rtl/>
        </w:rPr>
      </w:pPr>
      <w:r w:rsidRPr="00145C6C">
        <w:rPr>
          <w:rFonts w:hint="cs"/>
          <w:sz w:val="24"/>
          <w:szCs w:val="24"/>
          <w:rtl/>
        </w:rPr>
        <w:t xml:space="preserve">מגישים: </w:t>
      </w:r>
      <w:proofErr w:type="spellStart"/>
      <w:r w:rsidRPr="00145C6C">
        <w:rPr>
          <w:rFonts w:hint="cs"/>
          <w:sz w:val="24"/>
          <w:szCs w:val="24"/>
          <w:rtl/>
        </w:rPr>
        <w:t>איתאל</w:t>
      </w:r>
      <w:proofErr w:type="spellEnd"/>
      <w:r w:rsidRPr="00145C6C">
        <w:rPr>
          <w:rFonts w:hint="cs"/>
          <w:sz w:val="24"/>
          <w:szCs w:val="24"/>
          <w:rtl/>
        </w:rPr>
        <w:t xml:space="preserve"> </w:t>
      </w:r>
      <w:proofErr w:type="spellStart"/>
      <w:r w:rsidRPr="00145C6C">
        <w:rPr>
          <w:rFonts w:hint="cs"/>
          <w:sz w:val="24"/>
          <w:szCs w:val="24"/>
          <w:rtl/>
        </w:rPr>
        <w:t>קלנגן</w:t>
      </w:r>
      <w:proofErr w:type="spellEnd"/>
      <w:r w:rsidRPr="00145C6C">
        <w:rPr>
          <w:rFonts w:hint="cs"/>
          <w:sz w:val="24"/>
          <w:szCs w:val="24"/>
          <w:rtl/>
        </w:rPr>
        <w:t>, אלכסנדר סוקולוב, סתיו בר שי</w:t>
      </w:r>
    </w:p>
    <w:p w:rsidR="00B92A77" w:rsidRPr="00B92A77" w:rsidRDefault="00B92A77" w:rsidP="002C4A4A">
      <w:pPr>
        <w:jc w:val="center"/>
        <w:rPr>
          <w:rFonts w:hint="cs"/>
          <w:sz w:val="20"/>
          <w:szCs w:val="20"/>
        </w:rPr>
      </w:pPr>
    </w:p>
    <w:p w:rsidR="002C4A4A" w:rsidRDefault="00F063CC" w:rsidP="00F063CC">
      <w:pPr>
        <w:jc w:val="center"/>
        <w:rPr>
          <w:sz w:val="24"/>
          <w:szCs w:val="24"/>
          <w:rtl/>
        </w:rPr>
      </w:pPr>
      <w:r>
        <w:rPr>
          <w:noProof/>
          <w:sz w:val="24"/>
          <w:szCs w:val="24"/>
          <w:rtl/>
        </w:rPr>
        <w:drawing>
          <wp:inline distT="0" distB="0" distL="0" distR="0">
            <wp:extent cx="3855720" cy="293779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_Fortune_Telle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3843" cy="2959220"/>
                    </a:xfrm>
                    <a:prstGeom prst="rect">
                      <a:avLst/>
                    </a:prstGeom>
                  </pic:spPr>
                </pic:pic>
              </a:graphicData>
            </a:graphic>
          </wp:inline>
        </w:drawing>
      </w:r>
    </w:p>
    <w:p w:rsidR="00F063CC" w:rsidRPr="00F063CC" w:rsidRDefault="00F063CC" w:rsidP="002C4A4A">
      <w:pPr>
        <w:rPr>
          <w:sz w:val="14"/>
          <w:szCs w:val="14"/>
          <w:rtl/>
        </w:rPr>
      </w:pPr>
    </w:p>
    <w:p w:rsidR="002C4A4A" w:rsidRPr="00A377E1" w:rsidRDefault="002C4A4A" w:rsidP="002C4A4A">
      <w:pPr>
        <w:rPr>
          <w:rFonts w:hint="cs"/>
          <w:sz w:val="24"/>
          <w:szCs w:val="24"/>
          <w:u w:val="single"/>
          <w:rtl/>
        </w:rPr>
      </w:pPr>
      <w:r w:rsidRPr="00A377E1">
        <w:rPr>
          <w:rFonts w:hint="cs"/>
          <w:sz w:val="24"/>
          <w:szCs w:val="24"/>
          <w:u w:val="single"/>
          <w:rtl/>
        </w:rPr>
        <w:t>עובדתי</w:t>
      </w:r>
    </w:p>
    <w:p w:rsidR="002C4A4A" w:rsidRDefault="002C4A4A" w:rsidP="002C4A4A">
      <w:pPr>
        <w:rPr>
          <w:sz w:val="24"/>
          <w:szCs w:val="24"/>
          <w:rtl/>
        </w:rPr>
      </w:pPr>
      <w:r>
        <w:rPr>
          <w:rFonts w:hint="cs"/>
          <w:sz w:val="24"/>
          <w:szCs w:val="24"/>
          <w:rtl/>
        </w:rPr>
        <w:t xml:space="preserve">ביצירה שתי דמויות העומדות זו לצד זו </w:t>
      </w:r>
      <w:r>
        <w:rPr>
          <w:sz w:val="24"/>
          <w:szCs w:val="24"/>
          <w:rtl/>
        </w:rPr>
        <w:t>–</w:t>
      </w:r>
      <w:r>
        <w:rPr>
          <w:rFonts w:hint="cs"/>
          <w:sz w:val="24"/>
          <w:szCs w:val="24"/>
          <w:rtl/>
        </w:rPr>
        <w:t xml:space="preserve"> בחור הלבוש בבגדים מכובדים </w:t>
      </w:r>
      <w:r w:rsidR="00A377E1">
        <w:rPr>
          <w:rFonts w:hint="cs"/>
          <w:sz w:val="24"/>
          <w:szCs w:val="24"/>
          <w:rtl/>
        </w:rPr>
        <w:t xml:space="preserve">וצמודה אליו אוחזת בידו, אישה הלבושה בבגדי צוענייה. </w:t>
      </w:r>
    </w:p>
    <w:p w:rsidR="00F063CC" w:rsidRDefault="00F063CC" w:rsidP="002C4A4A">
      <w:pPr>
        <w:rPr>
          <w:sz w:val="24"/>
          <w:szCs w:val="24"/>
          <w:u w:val="single"/>
          <w:rtl/>
        </w:rPr>
      </w:pPr>
      <w:r w:rsidRPr="00F063CC">
        <w:rPr>
          <w:rFonts w:hint="cs"/>
          <w:sz w:val="24"/>
          <w:szCs w:val="24"/>
          <w:u w:val="single"/>
          <w:rtl/>
        </w:rPr>
        <w:t>פרשני</w:t>
      </w:r>
    </w:p>
    <w:p w:rsidR="00F063CC" w:rsidRDefault="00F063CC" w:rsidP="00941639">
      <w:pPr>
        <w:rPr>
          <w:sz w:val="24"/>
          <w:szCs w:val="24"/>
          <w:rtl/>
        </w:rPr>
      </w:pPr>
      <w:r>
        <w:rPr>
          <w:rFonts w:hint="cs"/>
          <w:sz w:val="24"/>
          <w:szCs w:val="24"/>
          <w:rtl/>
        </w:rPr>
        <w:t xml:space="preserve">בציור קיימת מעיין המשכיות בצבע בין הגלימה אשר עוטה הבחור לבין מלבושיה של הצוענייה, מעיין "קשר" ויזואלי הנוצר ביניהם הודות לגוון הזהה של המלבושים. </w:t>
      </w:r>
      <w:proofErr w:type="spellStart"/>
      <w:r>
        <w:rPr>
          <w:rFonts w:hint="cs"/>
          <w:sz w:val="24"/>
          <w:szCs w:val="24"/>
          <w:rtl/>
        </w:rPr>
        <w:t>קאראווג'ו</w:t>
      </w:r>
      <w:proofErr w:type="spellEnd"/>
      <w:r>
        <w:rPr>
          <w:rFonts w:hint="cs"/>
          <w:sz w:val="24"/>
          <w:szCs w:val="24"/>
          <w:rtl/>
        </w:rPr>
        <w:t xml:space="preserve"> בוחר להציב את הדמויות </w:t>
      </w:r>
      <w:r w:rsidR="00941639">
        <w:rPr>
          <w:rFonts w:hint="cs"/>
          <w:sz w:val="24"/>
          <w:szCs w:val="24"/>
          <w:rtl/>
        </w:rPr>
        <w:t xml:space="preserve">אחת לצד השנייה כשדמות האישה רוכנת לעבר הבחור ונותנת תחושה כי היא כמעט לפניו. </w:t>
      </w:r>
      <w:r w:rsidR="00941639">
        <w:rPr>
          <w:rFonts w:hint="cs"/>
          <w:sz w:val="24"/>
          <w:szCs w:val="24"/>
          <w:rtl/>
        </w:rPr>
        <w:t>תווי פניו של הבחור צעירים וילדותיים מעט ואילו תווי פניה של הצוענייה מבוג</w:t>
      </w:r>
      <w:bookmarkStart w:id="0" w:name="_GoBack"/>
      <w:bookmarkEnd w:id="0"/>
      <w:r w:rsidR="00941639">
        <w:rPr>
          <w:rFonts w:hint="cs"/>
          <w:sz w:val="24"/>
          <w:szCs w:val="24"/>
          <w:rtl/>
        </w:rPr>
        <w:t>רים יותר</w:t>
      </w:r>
      <w:r w:rsidR="00941639">
        <w:rPr>
          <w:rFonts w:hint="cs"/>
          <w:sz w:val="24"/>
          <w:szCs w:val="24"/>
          <w:rtl/>
        </w:rPr>
        <w:t xml:space="preserve">. </w:t>
      </w:r>
      <w:r>
        <w:rPr>
          <w:rFonts w:hint="cs"/>
          <w:sz w:val="24"/>
          <w:szCs w:val="24"/>
          <w:rtl/>
        </w:rPr>
        <w:t xml:space="preserve">הבחור ממוקד כל כולו בהקשבה לדמות הצוענייה האוחזת בידו, מקריאה לו את עתידו. באותו זמן ממש, הוא אינו מבחין כלל כי בעשותה זאת, היא מנסה להסיר את הטבעת אשר על אצבעו. </w:t>
      </w:r>
    </w:p>
    <w:p w:rsidR="00941639" w:rsidRDefault="00941639" w:rsidP="00941639">
      <w:pPr>
        <w:rPr>
          <w:rFonts w:hint="cs"/>
          <w:sz w:val="24"/>
          <w:szCs w:val="24"/>
          <w:rtl/>
        </w:rPr>
      </w:pPr>
      <w:r>
        <w:rPr>
          <w:rFonts w:hint="cs"/>
          <w:sz w:val="24"/>
          <w:szCs w:val="24"/>
          <w:rtl/>
        </w:rPr>
        <w:t xml:space="preserve">מקריאה על האמן גילינו כי הרבה לצייר ציורים של קדושים </w:t>
      </w:r>
      <w:proofErr w:type="spellStart"/>
      <w:r>
        <w:rPr>
          <w:rFonts w:hint="cs"/>
          <w:sz w:val="24"/>
          <w:szCs w:val="24"/>
          <w:rtl/>
        </w:rPr>
        <w:t>וסצינות</w:t>
      </w:r>
      <w:proofErr w:type="spellEnd"/>
      <w:r>
        <w:rPr>
          <w:rFonts w:hint="cs"/>
          <w:sz w:val="24"/>
          <w:szCs w:val="24"/>
          <w:rtl/>
        </w:rPr>
        <w:t xml:space="preserve"> </w:t>
      </w:r>
      <w:proofErr w:type="spellStart"/>
      <w:r>
        <w:rPr>
          <w:rFonts w:hint="cs"/>
          <w:sz w:val="24"/>
          <w:szCs w:val="24"/>
          <w:rtl/>
        </w:rPr>
        <w:t>תנ"כיות</w:t>
      </w:r>
      <w:proofErr w:type="spellEnd"/>
      <w:r>
        <w:rPr>
          <w:rFonts w:hint="cs"/>
          <w:sz w:val="24"/>
          <w:szCs w:val="24"/>
          <w:rtl/>
        </w:rPr>
        <w:t xml:space="preserve"> ולהציג את הדמויות כאנשים רגילים. יצירותיו מאופיינות בריאליזם מפורט (ואכן, דמות הצוענייה מבוססת על אחת מן הנשים הצועניות אשר נ</w:t>
      </w:r>
      <w:r w:rsidR="00B92A77">
        <w:rPr>
          <w:rFonts w:hint="cs"/>
          <w:sz w:val="24"/>
          <w:szCs w:val="24"/>
          <w:rtl/>
        </w:rPr>
        <w:t xml:space="preserve">תקל בהן ברחוב), בחירת מודלים לא </w:t>
      </w:r>
      <w:r>
        <w:rPr>
          <w:rFonts w:hint="cs"/>
          <w:sz w:val="24"/>
          <w:szCs w:val="24"/>
          <w:rtl/>
        </w:rPr>
        <w:t>שגרתיים ומשחקי אור וצל.</w:t>
      </w:r>
    </w:p>
    <w:p w:rsidR="002C4A4A" w:rsidRDefault="002C4A4A">
      <w:pPr>
        <w:rPr>
          <w:rFonts w:hint="cs"/>
          <w:rtl/>
        </w:rPr>
      </w:pPr>
    </w:p>
    <w:sectPr w:rsidR="002C4A4A" w:rsidSect="00BB46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4A"/>
    <w:rsid w:val="00021687"/>
    <w:rsid w:val="00145C6C"/>
    <w:rsid w:val="001A1F9C"/>
    <w:rsid w:val="002C4A4A"/>
    <w:rsid w:val="00485287"/>
    <w:rsid w:val="00941639"/>
    <w:rsid w:val="009936D6"/>
    <w:rsid w:val="00A377E1"/>
    <w:rsid w:val="00B92A77"/>
    <w:rsid w:val="00BB4643"/>
    <w:rsid w:val="00F06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043F"/>
  <w15:chartTrackingRefBased/>
  <w15:docId w15:val="{61DEC6B7-4765-44A8-AEFE-0FD89AE1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3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176</Words>
  <Characters>883</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Itael</dc:creator>
  <cp:keywords/>
  <dc:description/>
  <cp:lastModifiedBy>Itael</cp:lastModifiedBy>
  <cp:revision>5</cp:revision>
  <dcterms:created xsi:type="dcterms:W3CDTF">2017-01-28T21:17:00Z</dcterms:created>
  <dcterms:modified xsi:type="dcterms:W3CDTF">2017-01-28T21:47:00Z</dcterms:modified>
</cp:coreProperties>
</file>