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Никита Оленев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Романтический ужин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1500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Кино-вечер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2000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Романтический ужин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1500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Кино-вечер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2000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7000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семь тысяч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