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/>
                <w:bCs/>
                <w:color w:val="E15A5A"/>
                <w:sz w:val="34"/>
                <w:szCs w:val="34"/>
              </w:rPr>
              <w:t xml:space="preserve">MIND</w:t>
            </w:r>
            <w:r>
              <w:rPr>
                <w:b/>
                <w:bCs/>
                <w:color w:val="444444"/>
                <w:sz w:val="34"/>
                <w:szCs w:val="34"/>
              </w:rPr>
              <w:t xml:space="preserve">SPRINT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b/>
                <w:bCs/>
                <w:color w:val="1E2761"/>
                <w:sz w:val="26"/>
                <w:szCs w:val="26"/>
              </w:rPr>
              <w:t xml:space="preserve">SASHWATA BANERJEE</w:t>
            </w:r>
          </w:p>
        </w:tc>
      </w:tr>
    </w:tbl>
    <w:p>
      <w:pPr>
        <w:spacing w:after="2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60" w:before="160"/>
            </w:pPr>
            <w:r>
              <w:rPr>
                <w:b/>
                <w:bCs/>
                <w:color w:val="1A1A1A"/>
                <w:sz w:val="21"/>
                <w:szCs w:val="21"/>
                <w:u w:val="single"/>
              </w:rPr>
              <w:t xml:space="preserve">Area of Expertise: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Computer Vision, Medical Imaging AI, OCR / PHI-PII Detection, Model Quantization, Edge &amp; Android Deployment, DICOM, Real-Time Tracking, PyTorch, TensorFlow, OpenCV, C++, Python</w:t>
            </w:r>
          </w:p>
          <w:p>
            <w:pPr>
              <w:spacing w:after="60" w:before="160"/>
            </w:pPr>
            <w:r>
              <w:rPr>
                <w:b/>
                <w:bCs/>
                <w:color w:val="1A1A1A"/>
                <w:sz w:val="21"/>
                <w:szCs w:val="21"/>
                <w:u w:val="single"/>
              </w:rPr>
              <w:t xml:space="preserve">Industry/Functional Experience: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Healthcare &amp; Medical Imaging, Biometrics &amp; Identity Verification, Robotics &amp; Real-Time Perception</w:t>
            </w:r>
          </w:p>
          <w:p>
            <w:pPr>
              <w:spacing w:after="60" w:before="160"/>
            </w:pPr>
            <w:r>
              <w:rPr>
                <w:b/>
                <w:bCs/>
                <w:color w:val="1A1A1A"/>
                <w:sz w:val="21"/>
                <w:szCs w:val="21"/>
                <w:u w:val="single"/>
              </w:rPr>
              <w:t xml:space="preserve">Certifications: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None currently listed</w:t>
            </w:r>
          </w:p>
          <w:p>
            <w:pPr>
              <w:spacing w:after="60" w:before="160"/>
            </w:pPr>
            <w:r>
              <w:rPr>
                <w:b/>
                <w:bCs/>
                <w:color w:val="1A1A1A"/>
                <w:sz w:val="21"/>
                <w:szCs w:val="21"/>
                <w:u w:val="single"/>
              </w:rPr>
              <w:t xml:space="preserve">Education: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MS, Electrical &amp; Computer Engineering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(Concentration: Computer Vision, ML, Algorithms)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Northeastern University, Boston, MA — 2021–2023</w:t>
            </w:r>
          </w:p>
          <w:p>
            <w:pPr>
              <w:spacing w:after="60" w:before="160"/>
            </w:pPr>
            <w:r>
              <w:rPr>
                <w:b/>
                <w:bCs/>
                <w:color w:val="1A1A1A"/>
                <w:sz w:val="21"/>
                <w:szCs w:val="21"/>
                <w:u w:val="single"/>
              </w:rPr>
              <w:t xml:space="preserve">Global Exposure: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United States — Genentech (South San Francisco, CA) and Philips (Cambridge, MA)</w:t>
            </w:r>
          </w:p>
        </w:tc>
        <w:tc>
          <w:tcPr>
            <w:tcW w:type="dxa" w:w="7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100" w:before="40"/>
            </w:pPr>
            <w:r>
              <w:rPr>
                <w:b/>
                <w:bCs/>
                <w:color w:val="1A1A1A"/>
                <w:sz w:val="21"/>
                <w:szCs w:val="21"/>
                <w:u w:val="single"/>
              </w:rPr>
              <w:t xml:space="preserve">PROFESSIONAL OVERVIEW: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Overall, 4+ years </w:t>
            </w:r>
            <w:r>
              <w:rPr>
                <w:color w:val="1A1A1A"/>
                <w:sz w:val="20"/>
                <w:szCs w:val="20"/>
              </w:rPr>
              <w:t xml:space="preserve">of experience in computer vision and machine learning engineering, across medical imaging, biometrics, and real-time perception.</w:t>
            </w:r>
          </w:p>
          <w:p>
            <w:pPr>
              <w:spacing w:after="10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2.5+ years of experience in medical imaging AI at Genentech, </w:t>
            </w:r>
            <w:r>
              <w:rPr>
                <w:color w:val="1A1A1A"/>
                <w:sz w:val="20"/>
                <w:szCs w:val="20"/>
              </w:rPr>
              <w:t xml:space="preserve">leading evaluation of OCR/CV pipelines for PHI/PII detection and optimizing an MRI anonymization algorithm deployed to a production medical imaging platform.</w:t>
            </w:r>
          </w:p>
          <w:p>
            <w:pPr>
              <w:spacing w:after="10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 year of experience in AI model deployment at Philips, </w:t>
            </w:r>
            <w:r>
              <w:rPr>
                <w:color w:val="1A1A1A"/>
                <w:sz w:val="20"/>
                <w:szCs w:val="20"/>
              </w:rPr>
              <w:t xml:space="preserve">converting and quantizing PyTorch models to TFLite and shipping them in an Android app for real-time fetal ultrasound analysis (patent applied).</w:t>
            </w:r>
          </w:p>
          <w:p>
            <w:pPr>
              <w:spacing w:after="10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2+ years of experience in applied deep learning research at HyperVerge and Inferigence Quotient, </w:t>
            </w:r>
            <w:r>
              <w:rPr>
                <w:color w:val="1A1A1A"/>
                <w:sz w:val="20"/>
                <w:szCs w:val="20"/>
              </w:rPr>
              <w:t xml:space="preserve">covering biometric spoof/liveness detection, real-time multi-object tracking, and person detection systems.</w:t>
            </w:r>
          </w:p>
          <w:p>
            <w:pPr>
              <w:spacing w:after="10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Author of 5 peer-reviewed publications </w:t>
            </w:r>
            <w:r>
              <w:rPr>
                <w:color w:val="1A1A1A"/>
                <w:sz w:val="20"/>
                <w:szCs w:val="20"/>
              </w:rPr>
              <w:t xml:space="preserve">in computer vision and AI, with 80+ citations.</w:t>
            </w:r>
          </w:p>
          <w:p>
            <w:pPr>
              <w:spacing w:after="100" w:before="40"/>
            </w:pPr>
            <w:r>
              <w:rPr>
                <w:b/>
                <w:bCs/>
                <w:color w:val="1A1A1A"/>
                <w:sz w:val="21"/>
                <w:szCs w:val="21"/>
                <w:u w:val="single"/>
              </w:rPr>
              <w:t xml:space="preserve">PROJECT SUMMARY:</w:t>
            </w:r>
          </w:p>
          <w:p>
            <w:pPr>
              <w:spacing w:after="80" w:before="14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Genentech, 10/2023 – 06/2026 — Machine Learning Engineer, Medical Imaging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 xml:space="preserve">Led evaluation of OCR and computer vision pipelines for PHI/PII detection across ultrasound, radiology, and ophthalmology images, improving character-level accuracy 32% over baseline.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 xml:space="preserve">Optimized and Dockerized an MRI refacing algorithm for anonymizing brain scans (NIfTI), improving processing throughput 35% via multi-threading; deployed to a production medical imaging platform and evaluated downstream imaging-quality impact.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 xml:space="preserve">Built cross-platform packages (Windows, macOS, Linux, AWS, GCP, HPC) for scalable, reproducible DICOM and clinical imaging workflows; coordinated with offshore teams and cross-functional stakeholders.</w:t>
            </w:r>
          </w:p>
          <w:p>
            <w:pPr>
              <w:spacing w:after="80" w:before="14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Philips, 05/2022 – 12/2022 — Medical Imaging AI Engineer Co-op, Cambridge, MA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 xml:space="preserve">Converted AI models from PyTorch to TFLite with post-training quantization and deployed them in an Android application for evaluating medical imaging AI models.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 xml:space="preserve">Programmed a Python pre-processing pipeline converting raw DICOM (ultrasound) data into TFLite input tensors, boosting model-testing throughput 50%.</w:t>
            </w:r>
          </w:p>
          <w:p>
            <w:pPr>
              <w:spacing w:after="80" w:before="14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HyperVerge, 10/2020 – 05/2021 — Deep Learning Engineer Intern, Bangalore, India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 xml:space="preserve">Trained 10+ classifiers (ViT, Inception, etc.) on millions of images for presentation and mask attack detection, achieving 97% accuracy on real-world identity-fraud data.</w:t>
            </w:r>
          </w:p>
          <w:p>
            <w:pPr>
              <w:spacing w:after="80" w:before="14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Inferigence Quotient, 11/2019 – 09/2020 — Computer Vision Engineer, Bangalore, India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 xml:space="preserve">Adapted the DeepSort algorithm in C++ for an Android/TFLite application with an Extended Kalman Filter and ArUco markers, yielding a 98% accurate real-time person-tracking solution.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2026-09-16T18:13:20.760Z</dcterms:created>
  <dcterms:modified xsi:type="dcterms:W3CDTF">2026-09-16T18:13:20.768Z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