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B529C" w:rsidRDefault="008B529C" w:rsidP="008B529C">
      <w:pPr>
        <w:pStyle w:val="Heading2"/>
      </w:pPr>
      <w:r w:rsidRPr="008B529C">
        <w:t>Cox Hazardous Model</w:t>
      </w:r>
    </w:p>
    <w:p w:rsidR="008B529C" w:rsidRDefault="008B529C" w:rsidP="008B529C"/>
    <w:p w:rsidR="008B529C" w:rsidRDefault="008B529C" w:rsidP="008B529C">
      <w:r>
        <w:rPr>
          <w:noProof/>
        </w:rPr>
        <w:drawing>
          <wp:inline distT="0" distB="0" distL="0" distR="0" wp14:anchorId="45737306" wp14:editId="08D6AAFA">
            <wp:extent cx="5815011" cy="2479675"/>
            <wp:effectExtent l="0" t="0" r="1905" b="0"/>
            <wp:docPr id="1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019D793-E183-819B-B71B-18860EC7F6EE}"/>
                </a:ext>
                <a:ext uri="{147F2762-F138-4A5C-976F-8EAC2B608ADB}">
                  <a16:predDERef xmlns:a16="http://schemas.microsoft.com/office/drawing/2014/main" pred="{C813F8E2-B470-579F-060D-480F03C23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>
                      <a:extLst>
                        <a:ext uri="{FF2B5EF4-FFF2-40B4-BE49-F238E27FC236}">
                          <a16:creationId xmlns:a16="http://schemas.microsoft.com/office/drawing/2014/main" id="{2019D793-E183-819B-B71B-18860EC7F6EE}"/>
                        </a:ext>
                        <a:ext uri="{147F2762-F138-4A5C-976F-8EAC2B608ADB}">
                          <a16:predDERef xmlns:a16="http://schemas.microsoft.com/office/drawing/2014/main" pred="{C813F8E2-B470-579F-060D-480F03C231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5011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29C" w:rsidRDefault="008B529C" w:rsidP="008B529C"/>
    <w:p w:rsidR="008B529C" w:rsidRDefault="008B529C" w:rsidP="008B529C">
      <w:pPr>
        <w:pStyle w:val="Heading3"/>
      </w:pPr>
      <w:r>
        <w:rPr>
          <w:rStyle w:val="Strong"/>
          <w:b w:val="0"/>
          <w:bCs w:val="0"/>
        </w:rPr>
        <w:t>Cox Hazardous Model - Top 3 Important Variables</w:t>
      </w:r>
    </w:p>
    <w:p w:rsidR="008B529C" w:rsidRDefault="008B529C" w:rsidP="008B529C">
      <w:pPr>
        <w:pStyle w:val="NormalWeb"/>
        <w:numPr>
          <w:ilvl w:val="0"/>
          <w:numId w:val="1"/>
        </w:numPr>
      </w:pPr>
      <w:r>
        <w:rPr>
          <w:rStyle w:val="Strong"/>
        </w:rPr>
        <w:t>Variables and Importance:</w:t>
      </w:r>
    </w:p>
    <w:p w:rsidR="008B529C" w:rsidRDefault="008B529C" w:rsidP="008B529C">
      <w:pPr>
        <w:numPr>
          <w:ilvl w:val="1"/>
          <w:numId w:val="1"/>
        </w:numPr>
        <w:spacing w:before="100" w:beforeAutospacing="1" w:after="100" w:afterAutospacing="1"/>
      </w:pPr>
      <w:r>
        <w:rPr>
          <w:rStyle w:val="Strong"/>
        </w:rPr>
        <w:t>Duration (1.169425):</w:t>
      </w:r>
      <w:r>
        <w:t xml:space="preserve"> The most critical variable affecting the outcome. This indicates that the longer the duration (likely customer tenure), the higher the importance in predicting churn.</w:t>
      </w:r>
    </w:p>
    <w:p w:rsidR="008B529C" w:rsidRDefault="008B529C" w:rsidP="008B529C">
      <w:pPr>
        <w:numPr>
          <w:ilvl w:val="1"/>
          <w:numId w:val="1"/>
        </w:numPr>
        <w:spacing w:before="100" w:beforeAutospacing="1" w:after="100" w:afterAutospacing="1"/>
      </w:pPr>
      <w:r>
        <w:rPr>
          <w:rStyle w:val="Strong"/>
        </w:rPr>
        <w:t>Day (0.415035):</w:t>
      </w:r>
      <w:r>
        <w:t xml:space="preserve"> The second most important variable. This could relate to a specific pattern observed in customer behavior on certain days.</w:t>
      </w:r>
    </w:p>
    <w:p w:rsidR="008B529C" w:rsidRDefault="008B529C" w:rsidP="008B529C">
      <w:pPr>
        <w:numPr>
          <w:ilvl w:val="1"/>
          <w:numId w:val="1"/>
        </w:numPr>
        <w:spacing w:before="100" w:beforeAutospacing="1" w:after="100" w:afterAutospacing="1"/>
      </w:pPr>
      <w:r>
        <w:rPr>
          <w:rStyle w:val="Strong"/>
        </w:rPr>
        <w:t>Housing (0.225581):</w:t>
      </w:r>
      <w:r>
        <w:t xml:space="preserve"> Moderately important, possibly indicating housing type or location influences churn to some extent.</w:t>
      </w:r>
    </w:p>
    <w:p w:rsidR="008B529C" w:rsidRDefault="008B529C" w:rsidP="008B529C">
      <w:pPr>
        <w:pStyle w:val="NormalWeb"/>
        <w:numPr>
          <w:ilvl w:val="0"/>
          <w:numId w:val="1"/>
        </w:numPr>
      </w:pPr>
      <w:r>
        <w:rPr>
          <w:rStyle w:val="Strong"/>
        </w:rPr>
        <w:t>Accuracy:</w:t>
      </w:r>
      <w:r>
        <w:t xml:space="preserve"> The model achieves a high accuracy of 96.8%, indicating it effectively predicts the outcome. This makes it a reliable tool for identifying risk factors.</w:t>
      </w:r>
    </w:p>
    <w:p w:rsidR="008B529C" w:rsidRDefault="008B529C" w:rsidP="008B529C"/>
    <w:p w:rsidR="008B529C" w:rsidRDefault="008B529C" w:rsidP="008B529C">
      <w:r>
        <w:rPr>
          <w:noProof/>
        </w:rPr>
        <w:lastRenderedPageBreak/>
        <w:drawing>
          <wp:inline distT="0" distB="0" distL="0" distR="0" wp14:anchorId="72795B1C" wp14:editId="5A9A2481">
            <wp:extent cx="5943600" cy="3683000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D50D28C-262D-4ABB-912E-8B2B5141D0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6D50D28C-262D-4ABB-912E-8B2B5141D0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EA9E8" wp14:editId="1C1A803E">
            <wp:extent cx="5943600" cy="3679825"/>
            <wp:effectExtent l="0" t="0" r="0" b="317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B6A8E40-AE9A-4405-96E5-D8531C11A2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DB6A8E40-AE9A-4405-96E5-D8531C11A2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29C" w:rsidRDefault="008B529C" w:rsidP="008B529C"/>
    <w:p w:rsidR="008B529C" w:rsidRDefault="008B529C" w:rsidP="008B529C"/>
    <w:p w:rsidR="008B529C" w:rsidRDefault="008B529C" w:rsidP="008B529C"/>
    <w:p w:rsidR="008B529C" w:rsidRDefault="008B529C" w:rsidP="008B529C"/>
    <w:p w:rsidR="008B529C" w:rsidRDefault="008B529C" w:rsidP="008B529C">
      <w:pPr>
        <w:pStyle w:val="Heading3"/>
      </w:pPr>
      <w:r>
        <w:rPr>
          <w:rStyle w:val="Strong"/>
          <w:b w:val="0"/>
          <w:bCs w:val="0"/>
        </w:rPr>
        <w:lastRenderedPageBreak/>
        <w:t>Cox Proportional Hazards Output Summary</w:t>
      </w:r>
    </w:p>
    <w:p w:rsidR="008B529C" w:rsidRDefault="008B529C" w:rsidP="008B529C">
      <w:pPr>
        <w:pStyle w:val="NormalWeb"/>
        <w:numPr>
          <w:ilvl w:val="0"/>
          <w:numId w:val="2"/>
        </w:numPr>
      </w:pPr>
      <w:r>
        <w:rPr>
          <w:rStyle w:val="Strong"/>
        </w:rPr>
        <w:t>Key Metrics:</w:t>
      </w:r>
    </w:p>
    <w:p w:rsidR="008B529C" w:rsidRDefault="008B529C" w:rsidP="008B529C">
      <w:pPr>
        <w:numPr>
          <w:ilvl w:val="1"/>
          <w:numId w:val="2"/>
        </w:numPr>
        <w:spacing w:before="100" w:beforeAutospacing="1" w:after="100" w:afterAutospacing="1"/>
      </w:pPr>
      <w:r>
        <w:rPr>
          <w:rStyle w:val="Strong"/>
        </w:rPr>
        <w:t>Duration Column:</w:t>
      </w:r>
      <w:r>
        <w:t xml:space="preserve"> Tenure is used to measure how long customers stay.</w:t>
      </w:r>
    </w:p>
    <w:p w:rsidR="008B529C" w:rsidRDefault="008B529C" w:rsidP="008B529C">
      <w:pPr>
        <w:numPr>
          <w:ilvl w:val="1"/>
          <w:numId w:val="2"/>
        </w:numPr>
        <w:spacing w:before="100" w:beforeAutospacing="1" w:after="100" w:afterAutospacing="1"/>
      </w:pPr>
      <w:r>
        <w:rPr>
          <w:rStyle w:val="Strong"/>
        </w:rPr>
        <w:t>Event Column:</w:t>
      </w:r>
      <w:r>
        <w:t xml:space="preserve"> Churn (customers leaving) is the event of interest.</w:t>
      </w:r>
    </w:p>
    <w:p w:rsidR="008B529C" w:rsidRDefault="008B529C" w:rsidP="008B529C">
      <w:pPr>
        <w:numPr>
          <w:ilvl w:val="1"/>
          <w:numId w:val="2"/>
        </w:numPr>
        <w:spacing w:before="100" w:beforeAutospacing="1" w:after="100" w:afterAutospacing="1"/>
      </w:pPr>
      <w:r>
        <w:rPr>
          <w:rStyle w:val="Strong"/>
        </w:rPr>
        <w:t>Observations:</w:t>
      </w:r>
      <w:r>
        <w:t xml:space="preserve"> 5517 customers were analyzed, with 1756 churn events observed.</w:t>
      </w:r>
    </w:p>
    <w:p w:rsidR="008B529C" w:rsidRDefault="008B529C" w:rsidP="008B529C">
      <w:pPr>
        <w:numPr>
          <w:ilvl w:val="1"/>
          <w:numId w:val="2"/>
        </w:numPr>
        <w:spacing w:before="100" w:beforeAutospacing="1" w:after="100" w:afterAutospacing="1"/>
      </w:pPr>
      <w:r>
        <w:rPr>
          <w:rStyle w:val="Strong"/>
        </w:rPr>
        <w:t>Partial Log-Likelihood:</w:t>
      </w:r>
      <w:r>
        <w:t xml:space="preserve"> -11309.96, which measures the fit of the model.</w:t>
      </w:r>
    </w:p>
    <w:p w:rsidR="008B529C" w:rsidRDefault="008B529C" w:rsidP="008B529C">
      <w:pPr>
        <w:pStyle w:val="NormalWeb"/>
        <w:numPr>
          <w:ilvl w:val="0"/>
          <w:numId w:val="2"/>
        </w:numPr>
      </w:pPr>
      <w:r>
        <w:rPr>
          <w:rStyle w:val="Strong"/>
        </w:rPr>
        <w:t>Coefficient Analysis:</w:t>
      </w:r>
    </w:p>
    <w:p w:rsidR="008B529C" w:rsidRDefault="008B529C" w:rsidP="008B529C">
      <w:pPr>
        <w:numPr>
          <w:ilvl w:val="1"/>
          <w:numId w:val="2"/>
        </w:numPr>
        <w:spacing w:before="100" w:beforeAutospacing="1" w:after="100" w:afterAutospacing="1"/>
      </w:pPr>
      <w:r>
        <w:rPr>
          <w:rStyle w:val="Strong"/>
        </w:rPr>
        <w:t>Significant Factors:</w:t>
      </w:r>
    </w:p>
    <w:p w:rsidR="008B529C" w:rsidRDefault="008B529C" w:rsidP="008B529C">
      <w:pPr>
        <w:numPr>
          <w:ilvl w:val="2"/>
          <w:numId w:val="2"/>
        </w:numPr>
        <w:spacing w:before="100" w:beforeAutospacing="1" w:after="100" w:afterAutospacing="1"/>
      </w:pPr>
      <w:r>
        <w:rPr>
          <w:rStyle w:val="Strong"/>
        </w:rPr>
        <w:t>Phone Service (1.61):</w:t>
      </w:r>
      <w:r>
        <w:t xml:space="preserve"> High hazard ratio (HR) and significance indicate a strong positive relationship with churn.</w:t>
      </w:r>
    </w:p>
    <w:p w:rsidR="008B529C" w:rsidRDefault="008B529C" w:rsidP="008B529C">
      <w:pPr>
        <w:numPr>
          <w:ilvl w:val="2"/>
          <w:numId w:val="2"/>
        </w:numPr>
        <w:spacing w:before="100" w:beforeAutospacing="1" w:after="100" w:afterAutospacing="1"/>
      </w:pPr>
      <w:r>
        <w:rPr>
          <w:rStyle w:val="Strong"/>
        </w:rPr>
        <w:t>Contract (-1.00):</w:t>
      </w:r>
      <w:r>
        <w:t xml:space="preserve"> A negative coefficient suggests customers with contracts are less likely to churn.</w:t>
      </w:r>
    </w:p>
    <w:p w:rsidR="008B529C" w:rsidRDefault="008B529C" w:rsidP="008B529C">
      <w:pPr>
        <w:numPr>
          <w:ilvl w:val="2"/>
          <w:numId w:val="2"/>
        </w:numPr>
        <w:spacing w:before="100" w:beforeAutospacing="1" w:after="100" w:afterAutospacing="1"/>
      </w:pPr>
      <w:r>
        <w:rPr>
          <w:rStyle w:val="Strong"/>
        </w:rPr>
        <w:t>Payment Method (-1.05):</w:t>
      </w:r>
      <w:r>
        <w:t xml:space="preserve"> Indicates specific payment methods might reduce churn likelihood.</w:t>
      </w:r>
    </w:p>
    <w:p w:rsidR="008B529C" w:rsidRDefault="008B529C" w:rsidP="008B529C">
      <w:pPr>
        <w:numPr>
          <w:ilvl w:val="1"/>
          <w:numId w:val="2"/>
        </w:numPr>
        <w:spacing w:before="100" w:beforeAutospacing="1" w:after="100" w:afterAutospacing="1"/>
      </w:pPr>
      <w:r>
        <w:rPr>
          <w:rStyle w:val="Strong"/>
        </w:rPr>
        <w:t>Less Significant Factors:</w:t>
      </w:r>
    </w:p>
    <w:p w:rsidR="008B529C" w:rsidRDefault="008B529C" w:rsidP="008B529C">
      <w:pPr>
        <w:numPr>
          <w:ilvl w:val="2"/>
          <w:numId w:val="2"/>
        </w:numPr>
        <w:spacing w:before="100" w:beforeAutospacing="1" w:after="100" w:afterAutospacing="1"/>
      </w:pPr>
      <w:r>
        <w:rPr>
          <w:rStyle w:val="Strong"/>
        </w:rPr>
        <w:t>Gender (0.95):</w:t>
      </w:r>
      <w:r>
        <w:t xml:space="preserve"> Minimal impact on churn as indicated by the near-zero coefficient.</w:t>
      </w:r>
    </w:p>
    <w:p w:rsidR="008B529C" w:rsidRDefault="008B529C" w:rsidP="008B529C">
      <w:pPr>
        <w:numPr>
          <w:ilvl w:val="2"/>
          <w:numId w:val="2"/>
        </w:numPr>
        <w:spacing w:before="100" w:beforeAutospacing="1" w:after="100" w:afterAutospacing="1"/>
      </w:pPr>
      <w:r>
        <w:rPr>
          <w:rStyle w:val="Strong"/>
        </w:rPr>
        <w:t>Device Protection (0.04):</w:t>
      </w:r>
      <w:r>
        <w:t xml:space="preserve"> Insignificant effect.</w:t>
      </w:r>
    </w:p>
    <w:p w:rsidR="008B529C" w:rsidRDefault="008B529C" w:rsidP="008B529C">
      <w:pPr>
        <w:pStyle w:val="Heading3"/>
      </w:pPr>
      <w:r>
        <w:rPr>
          <w:rStyle w:val="Strong"/>
          <w:b w:val="0"/>
          <w:bCs w:val="0"/>
        </w:rPr>
        <w:t>Ranked Factors Affecting Churn</w:t>
      </w:r>
    </w:p>
    <w:p w:rsidR="008B529C" w:rsidRDefault="008B529C" w:rsidP="008B529C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Strong"/>
        </w:rPr>
        <w:t>Phone Service (1.29):</w:t>
      </w:r>
      <w:r>
        <w:t xml:space="preserve"> The top contributor to churn. Customers with this service might experience dissatisfaction, leading to churn.</w:t>
      </w:r>
    </w:p>
    <w:p w:rsidR="008B529C" w:rsidRDefault="008B529C" w:rsidP="008B529C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Strong"/>
        </w:rPr>
        <w:t>Internet Service (1.23):</w:t>
      </w:r>
      <w:r>
        <w:t xml:space="preserve"> Another significant contributor. Poor service quality or unmet expectations could drive this trend.</w:t>
      </w:r>
    </w:p>
    <w:p w:rsidR="008B529C" w:rsidRDefault="008B529C" w:rsidP="008B529C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Strong"/>
        </w:rPr>
        <w:t>Streaming TV/Movies (~0.8):</w:t>
      </w:r>
      <w:r>
        <w:t xml:space="preserve"> Moderate impact, suggesting entertainment services play a role but not as strongly as core services like phone or internet.</w:t>
      </w:r>
    </w:p>
    <w:p w:rsidR="008B529C" w:rsidRDefault="008B529C" w:rsidP="008B529C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Strong"/>
        </w:rPr>
        <w:t>Contract (-1.00):</w:t>
      </w:r>
      <w:r>
        <w:t xml:space="preserve"> Highlights the importance of long-term contracts in retaining customers.</w:t>
      </w:r>
    </w:p>
    <w:p w:rsidR="008B529C" w:rsidRDefault="008B529C" w:rsidP="008B529C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Strong"/>
        </w:rPr>
        <w:t>Paperless Billing (0.18):</w:t>
      </w:r>
      <w:r>
        <w:t xml:space="preserve"> Slight positive influence on retention, possibly because of convenience.</w:t>
      </w:r>
    </w:p>
    <w:p w:rsidR="008B529C" w:rsidRDefault="008B529C" w:rsidP="008B529C"/>
    <w:p w:rsidR="008B529C" w:rsidRDefault="008B529C" w:rsidP="008B529C"/>
    <w:p w:rsidR="008B529C" w:rsidRDefault="008B529C" w:rsidP="008B529C"/>
    <w:p w:rsidR="008B529C" w:rsidRDefault="008B529C" w:rsidP="008B529C">
      <w:r>
        <w:rPr>
          <w:noProof/>
        </w:rPr>
        <w:lastRenderedPageBreak/>
        <w:drawing>
          <wp:inline distT="0" distB="0" distL="0" distR="0" wp14:anchorId="62B36F34" wp14:editId="4C28C358">
            <wp:extent cx="5943600" cy="3559810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3E5B8FE-C083-4428-9053-1E8E1D26D7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3E5B8FE-C083-4428-9053-1E8E1D26D7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29C" w:rsidRDefault="008B529C" w:rsidP="008B529C"/>
    <w:p w:rsidR="008B529C" w:rsidRDefault="008B529C" w:rsidP="008B529C">
      <w:pPr>
        <w:pStyle w:val="Heading3"/>
      </w:pPr>
      <w:r>
        <w:rPr>
          <w:rStyle w:val="Strong"/>
          <w:b w:val="0"/>
          <w:bCs w:val="0"/>
        </w:rPr>
        <w:t>Log Hazard Ratios Plot</w:t>
      </w:r>
    </w:p>
    <w:p w:rsidR="008B529C" w:rsidRDefault="008B529C" w:rsidP="008B529C">
      <w:pPr>
        <w:numPr>
          <w:ilvl w:val="0"/>
          <w:numId w:val="4"/>
        </w:numPr>
        <w:spacing w:before="100" w:beforeAutospacing="1" w:after="100" w:afterAutospacing="1"/>
      </w:pPr>
      <w:r>
        <w:rPr>
          <w:rStyle w:val="Strong"/>
        </w:rPr>
        <w:t>Interpretation:</w:t>
      </w:r>
    </w:p>
    <w:p w:rsidR="008B529C" w:rsidRDefault="008B529C" w:rsidP="008B529C">
      <w:pPr>
        <w:numPr>
          <w:ilvl w:val="1"/>
          <w:numId w:val="4"/>
        </w:numPr>
        <w:spacing w:before="100" w:beforeAutospacing="1" w:after="100" w:afterAutospacing="1"/>
      </w:pPr>
      <w:r>
        <w:t>Factors on the right (positive HR): Increase the likelihood of churn (e.g., Phone Service, Internet Service).</w:t>
      </w:r>
    </w:p>
    <w:p w:rsidR="008B529C" w:rsidRDefault="008B529C" w:rsidP="008B529C">
      <w:pPr>
        <w:numPr>
          <w:ilvl w:val="1"/>
          <w:numId w:val="4"/>
        </w:numPr>
        <w:spacing w:before="100" w:beforeAutospacing="1" w:after="100" w:afterAutospacing="1"/>
      </w:pPr>
      <w:r>
        <w:t>Factors on the left (negative HR): Decrease the likelihood of churn (e.g., Contract, Payment Method).</w:t>
      </w:r>
    </w:p>
    <w:p w:rsidR="008B529C" w:rsidRDefault="008B529C" w:rsidP="008B529C">
      <w:pPr>
        <w:numPr>
          <w:ilvl w:val="1"/>
          <w:numId w:val="4"/>
        </w:numPr>
        <w:spacing w:before="100" w:beforeAutospacing="1" w:after="100" w:afterAutospacing="1"/>
      </w:pPr>
      <w:r>
        <w:t>The confidence intervals (horizontal bars) show variability. Narrower bars indicate more reliable estimates.</w:t>
      </w:r>
    </w:p>
    <w:p w:rsidR="008B529C" w:rsidRDefault="008B529C" w:rsidP="008B529C">
      <w:pPr>
        <w:pStyle w:val="Heading3"/>
      </w:pPr>
      <w:r>
        <w:t>Recommendations:</w:t>
      </w:r>
    </w:p>
    <w:p w:rsidR="008B529C" w:rsidRDefault="008B529C" w:rsidP="008B529C">
      <w:pPr>
        <w:numPr>
          <w:ilvl w:val="0"/>
          <w:numId w:val="5"/>
        </w:numPr>
        <w:spacing w:before="100" w:beforeAutospacing="1" w:after="100" w:afterAutospacing="1"/>
      </w:pPr>
      <w:r>
        <w:rPr>
          <w:rStyle w:val="Strong"/>
        </w:rPr>
        <w:t>Focus Areas to Reduce Churn:</w:t>
      </w:r>
    </w:p>
    <w:p w:rsidR="008B529C" w:rsidRDefault="008B529C" w:rsidP="008B529C">
      <w:pPr>
        <w:numPr>
          <w:ilvl w:val="1"/>
          <w:numId w:val="5"/>
        </w:numPr>
        <w:spacing w:before="100" w:beforeAutospacing="1" w:after="100" w:afterAutospacing="1"/>
      </w:pPr>
      <w:r>
        <w:t xml:space="preserve">Improve customer experience for </w:t>
      </w:r>
      <w:r>
        <w:rPr>
          <w:rStyle w:val="Strong"/>
        </w:rPr>
        <w:t>Phone Service</w:t>
      </w:r>
      <w:r>
        <w:t xml:space="preserve"> and </w:t>
      </w:r>
      <w:r>
        <w:rPr>
          <w:rStyle w:val="Strong"/>
        </w:rPr>
        <w:t>Internet Service</w:t>
      </w:r>
      <w:r>
        <w:t xml:space="preserve"> as they significantly impact churn.</w:t>
      </w:r>
    </w:p>
    <w:p w:rsidR="008B529C" w:rsidRDefault="008B529C" w:rsidP="008B529C">
      <w:pPr>
        <w:numPr>
          <w:ilvl w:val="1"/>
          <w:numId w:val="5"/>
        </w:numPr>
        <w:spacing w:before="100" w:beforeAutospacing="1" w:after="100" w:afterAutospacing="1"/>
      </w:pPr>
      <w:r>
        <w:t>Promote long-term contracts to reduce churn likelihood.</w:t>
      </w:r>
    </w:p>
    <w:p w:rsidR="008B529C" w:rsidRDefault="008B529C" w:rsidP="008B529C">
      <w:pPr>
        <w:numPr>
          <w:ilvl w:val="0"/>
          <w:numId w:val="5"/>
        </w:numPr>
        <w:spacing w:before="100" w:beforeAutospacing="1" w:after="100" w:afterAutospacing="1"/>
      </w:pPr>
      <w:r>
        <w:rPr>
          <w:rStyle w:val="Strong"/>
        </w:rPr>
        <w:t>Tailored Campaigns:</w:t>
      </w:r>
    </w:p>
    <w:p w:rsidR="008B529C" w:rsidRDefault="008B529C" w:rsidP="008B529C">
      <w:pPr>
        <w:numPr>
          <w:ilvl w:val="1"/>
          <w:numId w:val="5"/>
        </w:numPr>
        <w:spacing w:before="100" w:beforeAutospacing="1" w:after="100" w:afterAutospacing="1"/>
      </w:pPr>
      <w:r>
        <w:t>Target housing-related customer segments, as "housing" appears as an influential variable.</w:t>
      </w:r>
    </w:p>
    <w:p w:rsidR="008B529C" w:rsidRDefault="008B529C" w:rsidP="008B529C">
      <w:pPr>
        <w:numPr>
          <w:ilvl w:val="1"/>
          <w:numId w:val="5"/>
        </w:numPr>
        <w:spacing w:before="100" w:beforeAutospacing="1" w:after="100" w:afterAutospacing="1"/>
      </w:pPr>
      <w:r>
        <w:t>Leverage data on "day" to predict and prevent churn patterns.</w:t>
      </w:r>
    </w:p>
    <w:p w:rsidR="008B529C" w:rsidRDefault="008B529C" w:rsidP="008B529C">
      <w:pPr>
        <w:numPr>
          <w:ilvl w:val="0"/>
          <w:numId w:val="5"/>
        </w:numPr>
        <w:spacing w:before="100" w:beforeAutospacing="1" w:after="100" w:afterAutospacing="1"/>
      </w:pPr>
      <w:r>
        <w:rPr>
          <w:rStyle w:val="Strong"/>
        </w:rPr>
        <w:t>Additional Analysis:</w:t>
      </w:r>
    </w:p>
    <w:p w:rsidR="008B529C" w:rsidRPr="008B529C" w:rsidRDefault="008B529C" w:rsidP="008B529C">
      <w:pPr>
        <w:numPr>
          <w:ilvl w:val="1"/>
          <w:numId w:val="5"/>
        </w:numPr>
        <w:spacing w:before="100" w:beforeAutospacing="1" w:after="100" w:afterAutospacing="1"/>
      </w:pPr>
      <w:r>
        <w:t>Investigate less significant variables (e.g., gender) for potential indirect effects or interactions</w:t>
      </w:r>
      <w:r>
        <w:t xml:space="preserve">. </w:t>
      </w:r>
    </w:p>
    <w:sectPr w:rsidR="008B529C" w:rsidRPr="008B52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928D3"/>
    <w:multiLevelType w:val="multilevel"/>
    <w:tmpl w:val="DD963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121980"/>
    <w:multiLevelType w:val="multilevel"/>
    <w:tmpl w:val="D8FA7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E6789C"/>
    <w:multiLevelType w:val="multilevel"/>
    <w:tmpl w:val="A4280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0444B8"/>
    <w:multiLevelType w:val="multilevel"/>
    <w:tmpl w:val="08226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7E4F65"/>
    <w:multiLevelType w:val="multilevel"/>
    <w:tmpl w:val="14AC7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9588412">
    <w:abstractNumId w:val="1"/>
  </w:num>
  <w:num w:numId="2" w16cid:durableId="1910114456">
    <w:abstractNumId w:val="0"/>
  </w:num>
  <w:num w:numId="3" w16cid:durableId="1825587126">
    <w:abstractNumId w:val="3"/>
  </w:num>
  <w:num w:numId="4" w16cid:durableId="946934829">
    <w:abstractNumId w:val="2"/>
  </w:num>
  <w:num w:numId="5" w16cid:durableId="3314466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29C"/>
    <w:rsid w:val="008B5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EDDEFE"/>
  <w15:chartTrackingRefBased/>
  <w15:docId w15:val="{195DDC43-0571-284B-A743-222530CCC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529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52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B52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529C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8B529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B529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9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455</Words>
  <Characters>2599</Characters>
  <Application>Microsoft Office Word</Application>
  <DocSecurity>0</DocSecurity>
  <Lines>21</Lines>
  <Paragraphs>6</Paragraphs>
  <ScaleCrop>false</ScaleCrop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 singh</dc:creator>
  <cp:keywords/>
  <dc:description/>
  <cp:lastModifiedBy>Ashu singh</cp:lastModifiedBy>
  <cp:revision>1</cp:revision>
  <dcterms:created xsi:type="dcterms:W3CDTF">2025-02-10T07:20:00Z</dcterms:created>
  <dcterms:modified xsi:type="dcterms:W3CDTF">2025-02-10T07:26:00Z</dcterms:modified>
</cp:coreProperties>
</file>