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FicZon Inc. — Sales Effectiveness / Lead Quality Prediction</w:t>
      </w:r>
    </w:p>
    <w:p>
      <w:pPr>
        <w:pBdr>
          <w:bottom w:val="single" w:color="999999" w:sz="6" w:space="8"/>
        </w:pBdr>
        <w:spacing w:after="300"/>
      </w:pPr>
      <w:r>
        <w:rPr>
          <w:b/>
          <w:bCs/>
        </w:rPr>
        <w:t xml:space="preserve">Client: </w:t>
      </w:r>
      <w:r>
        <w:t xml:space="preserve">FicZon Inc. (IT solutions provider — on-premises &amp; SaaS products)    </w:t>
      </w:r>
      <w:r>
        <w:rPr>
          <w:b/>
          <w:bCs/>
        </w:rPr>
        <w:t xml:space="preserve">Category: </w:t>
      </w:r>
      <w:r>
        <w:t xml:space="preserve">Product Sales    </w:t>
      </w:r>
      <w:r>
        <w:rPr>
          <w:b/>
          <w:bCs/>
        </w:rPr>
        <w:t xml:space="preserve">Type: </w:t>
      </w:r>
      <w:r>
        <w:t xml:space="preserve">Binary Classification</w:t>
      </w:r>
    </w:p>
    <w:p>
      <w:pPr>
        <w:pStyle w:val="Heading1"/>
        <w:spacing w:after="150" w:before="300"/>
      </w:pPr>
      <w:r>
        <w:t xml:space="preserve">Business Problem</w:t>
      </w:r>
    </w:p>
    <w:p>
      <w:pPr>
        <w:spacing w:after="150"/>
      </w:pPr>
      <w:r>
        <w:t xml:space="preserve">FicZon generates most of its leads digitally through its website. Sales conversion depends heavily on how well the sales team prioritizes incoming leads. Today, lead quality is tagged manually by sales staff — inconsistent, and only useful for after-the-fact analysis rather than guiding the salesperson in real time. As competition increases, FicZon is seeing a dip in sales effectiveness.</w:t>
      </w:r>
    </w:p>
    <w:p>
      <w:pPr>
        <w:pStyle w:val="Heading1"/>
        <w:spacing w:after="150" w:before="300"/>
      </w:pPr>
      <w:r>
        <w:t xml:space="preserve">Goal</w:t>
      </w:r>
    </w:p>
    <w:p>
      <w:pPr>
        <w:pStyle w:val="ListParagraph"/>
        <w:numPr>
          <w:ilvl w:val="0"/>
          <w:numId w:val="2"/>
        </w:numPr>
        <w:spacing w:after="100"/>
      </w:pPr>
      <w:r>
        <w:t xml:space="preserve">Explore the lead data for insights into sales effectiveness.</w:t>
      </w:r>
    </w:p>
    <w:p>
      <w:pPr>
        <w:pStyle w:val="ListParagraph"/>
        <w:numPr>
          <w:ilvl w:val="0"/>
          <w:numId w:val="2"/>
        </w:numPr>
        <w:spacing w:after="100"/>
      </w:pPr>
      <w:r>
        <w:t xml:space="preserve">Build a Machine Learning model to pre-categorize each incoming lead as High Potential or Low Potential, so sales agents can prioritize their effort.</w:t>
      </w:r>
    </w:p>
    <w:p>
      <w:pPr>
        <w:pStyle w:val="Heading1"/>
        <w:spacing w:after="150" w:before="300"/>
      </w:pPr>
      <w:r>
        <w:t xml:space="preserve">Dataset</w:t>
      </w:r>
    </w:p>
    <w:p>
      <w:pPr>
        <w:spacing w:after="150"/>
      </w:pPr>
      <w:r>
        <w:t xml:space="preserve">7,422 leads with the following raw fields: Created, Product_ID, Source, Mobile, EMAIL, Sales_Agent, Location, Delivery_Mode, Status. The target (Lead_Category) is engineered from the manually-tagged Status field.</w:t>
      </w:r>
    </w:p>
    <w:p>
      <w:pPr>
        <w:pStyle w:val="Heading1"/>
        <w:spacing w:after="150" w:before="300"/>
      </w:pPr>
      <w:r>
        <w:t xml:space="preserve">Approach</w:t>
      </w:r>
    </w:p>
    <w:p>
      <w:pPr>
        <w:spacing w:after="150"/>
      </w:pPr>
      <w:r>
        <w:rPr>
          <w:b/>
          <w:bCs/>
        </w:rPr>
        <w:t xml:space="preserve">EDA — </w:t>
      </w:r>
      <w:r>
        <w:t xml:space="preserve">missing values, lead source/location/agent distributions, raw status breakdown</w:t>
      </w:r>
    </w:p>
    <w:p>
      <w:pPr>
        <w:spacing w:after="150"/>
      </w:pPr>
      <w:r>
        <w:rPr>
          <w:b/>
          <w:bCs/>
        </w:rPr>
        <w:t xml:space="preserve">Feature engineering — </w:t>
      </w:r>
      <w:r>
        <w:t xml:space="preserve">date/time features from Created, a Has_Mobile flag, email domain extraction, rare-category bucketing</w:t>
      </w:r>
    </w:p>
    <w:p>
      <w:pPr>
        <w:spacing w:after="150"/>
      </w:pPr>
      <w:r>
        <w:rPr>
          <w:b/>
          <w:bCs/>
        </w:rPr>
        <w:t xml:space="preserve">Preprocessing — </w:t>
      </w:r>
      <w:r>
        <w:t xml:space="preserve">missing value imputation, one-hot encoding, StandardScaler</w:t>
      </w:r>
    </w:p>
    <w:p>
      <w:pPr>
        <w:spacing w:after="150"/>
      </w:pPr>
      <w:r>
        <w:rPr>
          <w:b/>
          <w:bCs/>
        </w:rPr>
        <w:t xml:space="preserve">Modeling — </w:t>
      </w:r>
      <w:r>
        <w:t xml:space="preserve">Logistic Regression, Decision Tree, Random Forest, Gradient Boosting</w:t>
      </w:r>
    </w:p>
    <w:p>
      <w:pPr>
        <w:spacing w:after="150"/>
      </w:pPr>
      <w:r>
        <w:rPr>
          <w:b/>
          <w:bCs/>
        </w:rPr>
        <w:t xml:space="preserve">Evaluation — </w:t>
      </w:r>
      <w:r>
        <w:t xml:space="preserve">accuracy, precision, recall, F1-score, confusion matrix, feature importance</w:t>
      </w:r>
    </w:p>
    <w:p>
      <w:pPr>
        <w:pStyle w:val="Heading1"/>
        <w:spacing w:after="150" w:before="300"/>
      </w:pPr>
      <w:r>
        <w:t xml:space="preserve">Results</w:t>
      </w:r>
    </w:p>
    <w:p>
      <w:pPr>
        <w:spacing w:after="150"/>
      </w:pPr>
      <w:r>
        <w:t xml:space="preserve">All four models scored in the 65–67% accuracy range, with Logistic Regression and Gradient Boosting performing best (F1 ≈ 0.65–0.67). The strongest predictive signals were Product_ID, Location, and lead-creation timing (month/hour).</w:t>
      </w:r>
    </w:p>
    <w:p>
      <w:pPr>
        <w:pStyle w:val="Heading1"/>
        <w:spacing w:after="150" w:before="300"/>
      </w:pPr>
      <w:r>
        <w:t xml:space="preserve">Recommendations</w:t>
      </w:r>
    </w:p>
    <w:p>
      <w:pPr>
        <w:pStyle w:val="ListParagraph"/>
        <w:numPr>
          <w:ilvl w:val="0"/>
          <w:numId w:val="3"/>
        </w:numPr>
        <w:spacing w:after="100"/>
      </w:pPr>
      <w:r>
        <w:t xml:space="preserve">Deploy the model as a first-pass triage score at lead creation so agents work High Potential leads first.</w:t>
      </w:r>
    </w:p>
    <w:p>
      <w:pPr>
        <w:pStyle w:val="ListParagraph"/>
        <w:numPr>
          <w:ilvl w:val="0"/>
          <w:numId w:val="3"/>
        </w:numPr>
        <w:spacing w:after="100"/>
      </w:pPr>
      <w:r>
        <w:t xml:space="preserve">Standardize the Status taxonomy (e.g. merge duplicate labels like 'converted' / 'CONVERTED').</w:t>
      </w:r>
    </w:p>
    <w:p>
      <w:pPr>
        <w:pStyle w:val="ListParagraph"/>
        <w:numPr>
          <w:ilvl w:val="0"/>
          <w:numId w:val="3"/>
        </w:numPr>
        <w:spacing w:after="100"/>
      </w:pPr>
      <w:r>
        <w:t xml:space="preserve">Capture richer intake signals (company size, budget, explicit intent) to improve accuracy further.</w:t>
      </w:r>
    </w:p>
    <w:p>
      <w:pPr>
        <w:pStyle w:val="ListParagraph"/>
        <w:numPr>
          <w:ilvl w:val="0"/>
          <w:numId w:val="3"/>
        </w:numPr>
        <w:spacing w:after="100"/>
      </w:pPr>
      <w:r>
        <w:t xml:space="preserve">Retrain periodically and monitor performance by Source / Location / Agent.</w:t>
      </w:r>
    </w:p>
    <w:p>
      <w:pPr>
        <w:pStyle w:val="Heading1"/>
        <w:spacing w:after="150" w:before="300"/>
      </w:pPr>
      <w:r>
        <w:t xml:space="preserve">Files</w:t>
      </w:r>
    </w:p>
    <w:p>
      <w:pPr>
        <w:pStyle w:val="ListParagraph"/>
        <w:numPr>
          <w:ilvl w:val="0"/>
          <w:numId w:val="4"/>
        </w:numPr>
        <w:spacing w:after="100"/>
      </w:pPr>
      <w:r>
        <w:t xml:space="preserve">FicZon_Sales_Effectiveness_Analysis.ipynb — full, commented, step-by-step notebook</w:t>
      </w:r>
    </w:p>
    <w:p>
      <w:pPr>
        <w:pStyle w:val="ListParagraph"/>
        <w:numPr>
          <w:ilvl w:val="0"/>
          <w:numId w:val="4"/>
        </w:numPr>
        <w:spacing w:after="100"/>
      </w:pPr>
      <w:r>
        <w:t xml:space="preserve">FicZon_Sales_Effectiveness.csv — dataset</w:t>
      </w:r>
    </w:p>
    <w:p>
      <w:pPr>
        <w:pStyle w:val="Heading1"/>
        <w:spacing w:after="150" w:before="300"/>
      </w:pPr>
      <w:r>
        <w:t xml:space="preserve">Tech Stack</w:t>
      </w:r>
    </w:p>
    <w:p>
      <w:pPr>
        <w:spacing w:after="150"/>
      </w:pPr>
      <w:r>
        <w:t xml:space="preserve">Python · pandas · NumPy · scikit-learn · matplotlib · seaborn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2026-09-05T08:33:03.977Z</dcterms:created>
  <dcterms:modified xsi:type="dcterms:W3CDTF">2026-09-05T08:33:03.978Z</dcterms:modified>
</cp:coreProperties>
</file>

<file path=docProps/custom.xml><?xml version="1.0" encoding="utf-8"?>
<Properties xmlns="http://schemas.openxmlformats.org/officeDocument/2006/custom-properties" xmlns:vt="http://schemas.openxmlformats.org/officeDocument/2006/docPropsVTypes"/>
</file>