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fonts/font13.odttf" ContentType="application/vnd.openxmlformats-officedocument.obfuscatedFont"/>
  <Override PartName="/word/fonts/font12.odttf" ContentType="application/vnd.openxmlformats-officedocument.obfuscatedFont"/>
  <Override PartName="/word/fonts/font10.odttf" ContentType="application/vnd.openxmlformats-officedocument.obfuscatedFont"/>
  <Override PartName="/word/fonts/font8.odttf" ContentType="application/vnd.openxmlformats-officedocument.obfuscatedFont"/>
  <Override PartName="/word/fonts/font6.odttf" ContentType="application/vnd.openxmlformats-officedocument.obfuscatedFont"/>
  <Override PartName="/word/fonts/font5.odttf" ContentType="application/vnd.openxmlformats-officedocument.obfuscatedFont"/>
  <Override PartName="/word/fonts/font14.odttf" ContentType="application/vnd.openxmlformats-officedocument.obfuscatedFont"/>
  <Override PartName="/word/fonts/font20.odttf" ContentType="application/vnd.openxmlformats-officedocument.obfuscatedFont"/>
  <Override PartName="/word/fonts/font19.odttf" ContentType="application/vnd.openxmlformats-officedocument.obfuscatedFont"/>
  <Override PartName="/word/fonts/font4.odttf" ContentType="application/vnd.openxmlformats-officedocument.obfuscatedFont"/>
  <Override PartName="/word/fonts/font17.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15.odttf" ContentType="application/vnd.openxmlformats-officedocument.obfuscatedFont"/>
  <Override PartName="/word/fonts/font1.odttf" ContentType="application/vnd.openxmlformats-officedocument.obfuscatedFont"/>
  <Override PartName="/word/fonts/font16.odttf" ContentType="application/vnd.openxmlformats-officedocument.obfuscatedFont"/>
  <Override PartName="/word/fonts/font7.odttf" ContentType="application/vnd.openxmlformats-officedocument.obfuscatedFont"/>
  <Override PartName="/word/fonts/font3.odttf" ContentType="application/vnd.openxmlformats-officedocument.obfuscatedFont"/>
  <Override PartName="/word/fonts/font18.odttf" ContentType="application/vnd.openxmlformats-officedocument.obfuscatedFont"/>
  <Override PartName="/word/fonts/font9.odttf" ContentType="application/vnd.openxmlformats-officedocument.obfuscatedFont"/>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b/>
          <w:b/>
          <w:bCs/>
          <w:sz w:val="24"/>
          <w:szCs w:val="24"/>
        </w:rPr>
      </w:pPr>
      <w:r>
        <w:rPr>
          <w:b/>
          <w:bCs/>
          <w:sz w:val="24"/>
          <w:szCs w:val="24"/>
        </w:rPr>
        <w:t>Project Design Phase</w:t>
      </w:r>
    </w:p>
    <w:p>
      <w:pPr>
        <w:pStyle w:val="Normal1"/>
        <w:spacing w:lineRule="auto" w:line="240" w:before="0" w:after="0"/>
        <w:jc w:val="center"/>
        <w:rPr>
          <w:b/>
          <w:b/>
          <w:bCs/>
          <w:sz w:val="24"/>
          <w:szCs w:val="24"/>
        </w:rPr>
      </w:pPr>
      <w:r>
        <w:rPr>
          <w:b/>
          <w:bCs/>
          <w:sz w:val="24"/>
          <w:szCs w:val="24"/>
        </w:rPr>
        <w:t>Proposed Solution Template</w:t>
      </w:r>
    </w:p>
    <w:p>
      <w:pPr>
        <w:pStyle w:val="Normal1"/>
        <w:spacing w:lineRule="auto" w:line="240" w:before="0" w:after="0"/>
        <w:jc w:val="center"/>
        <w:rPr>
          <w:b/>
          <w:b/>
          <w:bCs/>
        </w:rPr>
      </w:pPr>
      <w:r>
        <w:rPr>
          <w:b/>
          <w:bCs/>
        </w:rPr>
      </w:r>
    </w:p>
    <w:tbl>
      <w:tblPr>
        <w:tblStyle w:val="Table1"/>
        <w:tblW w:w="9030" w:type="dxa"/>
        <w:jc w:val="left"/>
        <w:tblInd w:w="0" w:type="dxa"/>
        <w:tblLayout w:type="fixed"/>
        <w:tblCellMar>
          <w:top w:w="0" w:type="dxa"/>
          <w:left w:w="108" w:type="dxa"/>
          <w:bottom w:w="0" w:type="dxa"/>
          <w:right w:w="108" w:type="dxa"/>
        </w:tblCellMar>
        <w:tblLook w:val="0400"/>
      </w:tblPr>
      <w:tblGrid>
        <w:gridCol w:w="4694"/>
        <w:gridCol w:w="4335"/>
      </w:tblGrid>
      <w:tr>
        <w:trPr/>
        <w:tc>
          <w:tcPr>
            <w:tcW w:w="4694"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rPr/>
            </w:pPr>
            <w:r>
              <w:rPr/>
              <w:t>Date</w:t>
            </w:r>
          </w:p>
        </w:tc>
        <w:tc>
          <w:tcPr>
            <w:tcW w:w="4335"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rPr/>
            </w:pPr>
            <w:r>
              <w:rPr/>
              <w:t>01 July 2026</w:t>
            </w:r>
          </w:p>
        </w:tc>
      </w:tr>
      <w:tr>
        <w:trPr/>
        <w:tc>
          <w:tcPr>
            <w:tcW w:w="4694"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rPr/>
            </w:pPr>
            <w:r>
              <w:rPr/>
              <w:t>Team ID</w:t>
            </w:r>
          </w:p>
        </w:tc>
        <w:tc>
          <w:tcPr>
            <w:tcW w:w="4335"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rPr/>
            </w:pPr>
            <w:r>
              <w:rPr/>
            </w:r>
          </w:p>
        </w:tc>
      </w:tr>
      <w:tr>
        <w:trPr/>
        <w:tc>
          <w:tcPr>
            <w:tcW w:w="4694"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rPr/>
            </w:pPr>
            <w:r>
              <w:rPr/>
              <w:t>Project Name</w:t>
            </w:r>
          </w:p>
        </w:tc>
        <w:tc>
          <w:tcPr>
            <w:tcW w:w="4335"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rPr/>
            </w:pPr>
            <w:r>
              <w:rPr/>
              <w:t>STOCK TRADING APP</w:t>
            </w:r>
          </w:p>
        </w:tc>
      </w:tr>
      <w:tr>
        <w:trPr/>
        <w:tc>
          <w:tcPr>
            <w:tcW w:w="4694"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rPr/>
            </w:pPr>
            <w:r>
              <w:rPr/>
              <w:t>Maximum Marks</w:t>
            </w:r>
          </w:p>
        </w:tc>
        <w:tc>
          <w:tcPr>
            <w:tcW w:w="4335"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rPr/>
            </w:pPr>
            <w:r>
              <w:rPr/>
              <w:t>2 Marks</w:t>
            </w:r>
          </w:p>
        </w:tc>
      </w:tr>
    </w:tbl>
    <w:p>
      <w:pPr>
        <w:pStyle w:val="Normal1"/>
        <w:rPr>
          <w:b/>
          <w:b/>
          <w:bCs/>
        </w:rPr>
      </w:pPr>
      <w:r>
        <w:rPr>
          <w:b/>
          <w:bCs/>
        </w:rPr>
      </w:r>
    </w:p>
    <w:p>
      <w:pPr>
        <w:pStyle w:val="Normal1"/>
        <w:rPr>
          <w:b/>
          <w:b/>
          <w:bCs/>
        </w:rPr>
      </w:pPr>
      <w:r>
        <w:rPr>
          <w:b/>
          <w:bCs/>
        </w:rPr>
        <w:t>Proposed Solution Template:</w:t>
      </w:r>
    </w:p>
    <w:p>
      <w:pPr>
        <w:pStyle w:val="Normal1"/>
        <w:rPr/>
      </w:pPr>
      <w:r>
        <w:rPr/>
        <w:t>Project team shall fill the following information in the proposed solution template.</w:t>
      </w:r>
    </w:p>
    <w:tbl>
      <w:tblPr>
        <w:tblStyle w:val="Table2"/>
        <w:tblW w:w="9075" w:type="dxa"/>
        <w:jc w:val="left"/>
        <w:tblInd w:w="0" w:type="dxa"/>
        <w:tblLayout w:type="fixed"/>
        <w:tblCellMar>
          <w:top w:w="0" w:type="dxa"/>
          <w:left w:w="108" w:type="dxa"/>
          <w:bottom w:w="0" w:type="dxa"/>
          <w:right w:w="108" w:type="dxa"/>
        </w:tblCellMar>
        <w:tblLook w:val="0400"/>
      </w:tblPr>
      <w:tblGrid>
        <w:gridCol w:w="854"/>
        <w:gridCol w:w="3706"/>
        <w:gridCol w:w="4515"/>
      </w:tblGrid>
      <w:tr>
        <w:trPr>
          <w:trHeight w:val="557" w:hRule="atLeast"/>
        </w:trPr>
        <w:tc>
          <w:tcPr>
            <w:tcW w:w="854"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rPr>
                <w:b/>
                <w:b/>
                <w:bCs/>
              </w:rPr>
            </w:pPr>
            <w:r>
              <w:rPr>
                <w:b/>
                <w:bCs/>
              </w:rPr>
              <w:t>S.No.</w:t>
            </w:r>
          </w:p>
        </w:tc>
        <w:tc>
          <w:tcPr>
            <w:tcW w:w="3706"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rPr>
                <w:b/>
                <w:b/>
                <w:bCs/>
              </w:rPr>
            </w:pPr>
            <w:r>
              <w:rPr>
                <w:b/>
                <w:bCs/>
              </w:rPr>
              <w:t>Parameter</w:t>
            </w:r>
          </w:p>
        </w:tc>
        <w:tc>
          <w:tcPr>
            <w:tcW w:w="4515"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rPr>
                <w:b/>
                <w:b/>
                <w:bCs/>
              </w:rPr>
            </w:pPr>
            <w:r>
              <w:rPr>
                <w:b/>
                <w:bCs/>
              </w:rPr>
              <w:t>Description</w:t>
            </w:r>
          </w:p>
        </w:tc>
      </w:tr>
      <w:tr>
        <w:trPr>
          <w:trHeight w:val="817" w:hRule="atLeast"/>
        </w:trPr>
        <w:tc>
          <w:tcPr>
            <w:tcW w:w="854" w:type="dxa"/>
            <w:tcBorders>
              <w:top w:val="single" w:sz="4" w:space="0" w:color="000000"/>
              <w:left w:val="single" w:sz="4" w:space="0" w:color="000000"/>
              <w:bottom w:val="single" w:sz="4" w:space="0" w:color="000000"/>
              <w:right w:val="single" w:sz="4" w:space="0" w:color="000000"/>
            </w:tcBorders>
          </w:tcPr>
          <w:p>
            <w:pPr>
              <w:pStyle w:val="Normal1"/>
              <w:widowControl w:val="false"/>
              <w:pBdr/>
              <w:spacing w:lineRule="auto" w:line="259" w:before="0" w:after="160"/>
              <w:ind w:left="284" w:hanging="0"/>
              <w:rPr>
                <w:color w:val="000000"/>
              </w:rPr>
            </w:pPr>
            <w:r>
              <w:rPr>
                <w:color w:val="000000"/>
              </w:rPr>
            </w:r>
          </w:p>
          <w:p>
            <w:pPr>
              <w:pStyle w:val="Normal1"/>
              <w:widowControl w:val="false"/>
              <w:pBdr/>
              <w:spacing w:lineRule="auto" w:line="259" w:before="0" w:after="160"/>
              <w:ind w:left="284" w:hanging="0"/>
              <w:rPr>
                <w:color w:val="000000"/>
              </w:rPr>
            </w:pPr>
            <w:r>
              <w:rPr>
                <w:color w:val="000000"/>
              </w:rPr>
              <w:t>1.</w:t>
            </w:r>
          </w:p>
        </w:tc>
        <w:tc>
          <w:tcPr>
            <w:tcW w:w="3706" w:type="dxa"/>
            <w:tcBorders>
              <w:top w:val="single" w:sz="4" w:space="0" w:color="000000"/>
              <w:left w:val="single" w:sz="4" w:space="0" w:color="000000"/>
              <w:bottom w:val="single" w:sz="4" w:space="0" w:color="000000"/>
              <w:right w:val="single" w:sz="4" w:space="0" w:color="000000"/>
            </w:tcBorders>
          </w:tcPr>
          <w:p>
            <w:pPr>
              <w:pStyle w:val="Normal1"/>
              <w:widowControl w:val="false"/>
              <w:rPr>
                <w:color w:val="222222"/>
              </w:rPr>
            </w:pPr>
            <w:r>
              <w:rPr/>
            </w:r>
          </w:p>
          <w:p>
            <w:pPr>
              <w:pStyle w:val="Normal1"/>
              <w:widowControl w:val="false"/>
              <w:spacing w:before="0" w:after="160"/>
              <w:rPr/>
            </w:pPr>
            <w:r>
              <w:rPr>
                <w:color w:val="222222"/>
              </w:rPr>
              <w:t>Problem Statement (Problem to be solved)</w:t>
            </w:r>
          </w:p>
        </w:tc>
        <w:tc>
          <w:tcPr>
            <w:tcW w:w="4515"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rPr/>
            </w:pPr>
            <w:r>
              <w:rPr/>
              <w:t>Many beginners and students want to learn stock trading but hesitate to use real trading platforms due to financial risk. There is a need for a simple and secure platform where users can practice buying and selling stocks while managing their portfolio</w:t>
            </w:r>
          </w:p>
        </w:tc>
      </w:tr>
      <w:tr>
        <w:trPr>
          <w:trHeight w:val="817" w:hRule="atLeast"/>
        </w:trPr>
        <w:tc>
          <w:tcPr>
            <w:tcW w:w="854" w:type="dxa"/>
            <w:tcBorders>
              <w:top w:val="single" w:sz="4" w:space="0" w:color="000000"/>
              <w:left w:val="single" w:sz="4" w:space="0" w:color="000000"/>
              <w:bottom w:val="single" w:sz="4" w:space="0" w:color="000000"/>
              <w:right w:val="single" w:sz="4" w:space="0" w:color="000000"/>
            </w:tcBorders>
          </w:tcPr>
          <w:p>
            <w:pPr>
              <w:pStyle w:val="Normal1"/>
              <w:widowControl w:val="false"/>
              <w:pBdr/>
              <w:spacing w:lineRule="auto" w:line="259" w:before="0" w:after="160"/>
              <w:ind w:left="644" w:hanging="360"/>
              <w:rPr>
                <w:color w:val="000000"/>
              </w:rPr>
            </w:pPr>
            <w:r>
              <w:rPr>
                <w:color w:val="000000"/>
              </w:rPr>
            </w:r>
          </w:p>
          <w:p>
            <w:pPr>
              <w:pStyle w:val="Normal1"/>
              <w:widowControl w:val="false"/>
              <w:pBdr/>
              <w:spacing w:lineRule="auto" w:line="259" w:before="0" w:after="160"/>
              <w:ind w:left="644" w:hanging="360"/>
              <w:rPr>
                <w:color w:val="000000"/>
              </w:rPr>
            </w:pPr>
            <w:r>
              <w:rPr>
                <w:color w:val="000000"/>
              </w:rPr>
              <w:t>2.</w:t>
            </w:r>
          </w:p>
        </w:tc>
        <w:tc>
          <w:tcPr>
            <w:tcW w:w="3706" w:type="dxa"/>
            <w:tcBorders>
              <w:top w:val="single" w:sz="4" w:space="0" w:color="000000"/>
              <w:left w:val="single" w:sz="4" w:space="0" w:color="000000"/>
              <w:bottom w:val="single" w:sz="4" w:space="0" w:color="000000"/>
              <w:right w:val="single" w:sz="4" w:space="0" w:color="000000"/>
            </w:tcBorders>
          </w:tcPr>
          <w:p>
            <w:pPr>
              <w:pStyle w:val="Normal1"/>
              <w:widowControl w:val="false"/>
              <w:rPr>
                <w:color w:val="222222"/>
              </w:rPr>
            </w:pPr>
            <w:r>
              <w:rPr/>
            </w:r>
          </w:p>
          <w:p>
            <w:pPr>
              <w:pStyle w:val="Normal1"/>
              <w:widowControl w:val="false"/>
              <w:spacing w:before="0" w:after="160"/>
              <w:rPr/>
            </w:pPr>
            <w:r>
              <w:rPr>
                <w:color w:val="222222"/>
              </w:rPr>
              <w:t>Idea / Solution description</w:t>
            </w:r>
          </w:p>
        </w:tc>
        <w:tc>
          <w:tcPr>
            <w:tcW w:w="4515"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rPr/>
            </w:pPr>
            <w:r>
              <w:rPr/>
              <w:t>Develop a MERN Stack-based Stock Trading Web Application that allows users to register, log in securely, buy and sell stocks, view their portfolio, track transaction history, and monitor profit or loss through an interactive dashboard.</w:t>
            </w:r>
          </w:p>
        </w:tc>
      </w:tr>
      <w:tr>
        <w:trPr>
          <w:trHeight w:val="787" w:hRule="atLeast"/>
        </w:trPr>
        <w:tc>
          <w:tcPr>
            <w:tcW w:w="854" w:type="dxa"/>
            <w:tcBorders>
              <w:top w:val="single" w:sz="4" w:space="0" w:color="000000"/>
              <w:left w:val="single" w:sz="4" w:space="0" w:color="000000"/>
              <w:bottom w:val="single" w:sz="4" w:space="0" w:color="000000"/>
              <w:right w:val="single" w:sz="4" w:space="0" w:color="000000"/>
            </w:tcBorders>
          </w:tcPr>
          <w:p>
            <w:pPr>
              <w:pStyle w:val="Normal1"/>
              <w:widowControl w:val="false"/>
              <w:pBdr/>
              <w:spacing w:lineRule="auto" w:line="259" w:before="0" w:after="160"/>
              <w:ind w:left="644" w:hanging="360"/>
              <w:rPr>
                <w:color w:val="000000"/>
              </w:rPr>
            </w:pPr>
            <w:r>
              <w:rPr>
                <w:color w:val="000000"/>
              </w:rPr>
            </w:r>
          </w:p>
          <w:p>
            <w:pPr>
              <w:pStyle w:val="Normal1"/>
              <w:widowControl w:val="false"/>
              <w:pBdr/>
              <w:spacing w:lineRule="auto" w:line="259" w:before="0" w:after="160"/>
              <w:ind w:left="644" w:hanging="360"/>
              <w:rPr>
                <w:color w:val="000000"/>
              </w:rPr>
            </w:pPr>
            <w:r>
              <w:rPr>
                <w:color w:val="000000"/>
              </w:rPr>
              <w:t>3.</w:t>
            </w:r>
          </w:p>
        </w:tc>
        <w:tc>
          <w:tcPr>
            <w:tcW w:w="3706" w:type="dxa"/>
            <w:tcBorders>
              <w:top w:val="single" w:sz="4" w:space="0" w:color="000000"/>
              <w:left w:val="single" w:sz="4" w:space="0" w:color="000000"/>
              <w:bottom w:val="single" w:sz="4" w:space="0" w:color="000000"/>
              <w:right w:val="single" w:sz="4" w:space="0" w:color="000000"/>
            </w:tcBorders>
          </w:tcPr>
          <w:p>
            <w:pPr>
              <w:pStyle w:val="Normal1"/>
              <w:widowControl w:val="false"/>
              <w:rPr>
                <w:color w:val="222222"/>
              </w:rPr>
            </w:pPr>
            <w:r>
              <w:rPr/>
            </w:r>
          </w:p>
          <w:p>
            <w:pPr>
              <w:pStyle w:val="Normal1"/>
              <w:widowControl w:val="false"/>
              <w:spacing w:before="0" w:after="160"/>
              <w:rPr/>
            </w:pPr>
            <w:r>
              <w:rPr>
                <w:color w:val="222222"/>
              </w:rPr>
              <w:t xml:space="preserve">Novelty / Uniqueness </w:t>
            </w:r>
          </w:p>
        </w:tc>
        <w:tc>
          <w:tcPr>
            <w:tcW w:w="4515"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rPr/>
            </w:pPr>
            <w:r>
              <w:rPr/>
              <w:t>The application combines secure JWT-based authentication, portfolio management, transaction tracking, and profit/loss calculation in a simple, responsive interface. It provides a realistic trading experience for learning purposes without involving real money</w:t>
            </w:r>
          </w:p>
        </w:tc>
      </w:tr>
      <w:tr>
        <w:trPr>
          <w:trHeight w:val="817" w:hRule="atLeast"/>
        </w:trPr>
        <w:tc>
          <w:tcPr>
            <w:tcW w:w="854" w:type="dxa"/>
            <w:tcBorders>
              <w:top w:val="single" w:sz="4" w:space="0" w:color="000000"/>
              <w:left w:val="single" w:sz="4" w:space="0" w:color="000000"/>
              <w:bottom w:val="single" w:sz="4" w:space="0" w:color="000000"/>
              <w:right w:val="single" w:sz="4" w:space="0" w:color="000000"/>
            </w:tcBorders>
          </w:tcPr>
          <w:p>
            <w:pPr>
              <w:pStyle w:val="Normal1"/>
              <w:widowControl w:val="false"/>
              <w:pBdr/>
              <w:spacing w:lineRule="auto" w:line="259" w:before="0" w:after="160"/>
              <w:ind w:left="644" w:hanging="360"/>
              <w:rPr>
                <w:color w:val="000000"/>
              </w:rPr>
            </w:pPr>
            <w:r>
              <w:rPr>
                <w:color w:val="000000"/>
              </w:rPr>
            </w:r>
          </w:p>
          <w:p>
            <w:pPr>
              <w:pStyle w:val="Normal1"/>
              <w:widowControl w:val="false"/>
              <w:pBdr/>
              <w:spacing w:lineRule="auto" w:line="259" w:before="0" w:after="160"/>
              <w:ind w:left="644" w:hanging="360"/>
              <w:rPr>
                <w:color w:val="000000"/>
              </w:rPr>
            </w:pPr>
            <w:r>
              <w:rPr>
                <w:color w:val="000000"/>
              </w:rPr>
              <w:t>4.</w:t>
            </w:r>
          </w:p>
        </w:tc>
        <w:tc>
          <w:tcPr>
            <w:tcW w:w="3706" w:type="dxa"/>
            <w:tcBorders>
              <w:top w:val="single" w:sz="4" w:space="0" w:color="000000"/>
              <w:left w:val="single" w:sz="4" w:space="0" w:color="000000"/>
              <w:bottom w:val="single" w:sz="4" w:space="0" w:color="000000"/>
              <w:right w:val="single" w:sz="4" w:space="0" w:color="000000"/>
            </w:tcBorders>
          </w:tcPr>
          <w:p>
            <w:pPr>
              <w:pStyle w:val="Normal1"/>
              <w:widowControl w:val="false"/>
              <w:rPr>
                <w:color w:val="222222"/>
              </w:rPr>
            </w:pPr>
            <w:r>
              <w:rPr/>
            </w:r>
          </w:p>
          <w:p>
            <w:pPr>
              <w:pStyle w:val="Normal1"/>
              <w:widowControl w:val="false"/>
              <w:spacing w:before="0" w:after="160"/>
              <w:rPr/>
            </w:pPr>
            <w:r>
              <w:rPr>
                <w:color w:val="222222"/>
              </w:rPr>
              <w:t>Social Impact / Customer Satisfaction</w:t>
            </w:r>
          </w:p>
        </w:tc>
        <w:tc>
          <w:tcPr>
            <w:tcW w:w="4515"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rPr/>
            </w:pPr>
            <w:r>
              <w:rPr/>
              <w:t>The platform helps students and beginners understand stock market concepts in a risk-free environment. Its user-friendly interface improves learning, builds confidence, and enhances financial awareness.</w:t>
            </w:r>
          </w:p>
        </w:tc>
      </w:tr>
      <w:tr>
        <w:trPr>
          <w:trHeight w:val="817" w:hRule="atLeast"/>
        </w:trPr>
        <w:tc>
          <w:tcPr>
            <w:tcW w:w="854" w:type="dxa"/>
            <w:tcBorders>
              <w:top w:val="single" w:sz="4" w:space="0" w:color="000000"/>
              <w:left w:val="single" w:sz="4" w:space="0" w:color="000000"/>
              <w:bottom w:val="single" w:sz="4" w:space="0" w:color="000000"/>
              <w:right w:val="single" w:sz="4" w:space="0" w:color="000000"/>
            </w:tcBorders>
          </w:tcPr>
          <w:p>
            <w:pPr>
              <w:pStyle w:val="Normal1"/>
              <w:widowControl w:val="false"/>
              <w:pBdr/>
              <w:spacing w:lineRule="auto" w:line="259" w:before="0" w:after="160"/>
              <w:ind w:left="644" w:hanging="360"/>
              <w:rPr>
                <w:color w:val="000000"/>
              </w:rPr>
            </w:pPr>
            <w:r>
              <w:rPr>
                <w:color w:val="000000"/>
              </w:rPr>
            </w:r>
          </w:p>
          <w:p>
            <w:pPr>
              <w:pStyle w:val="Normal1"/>
              <w:widowControl w:val="false"/>
              <w:pBdr/>
              <w:spacing w:lineRule="auto" w:line="259" w:before="0" w:after="160"/>
              <w:ind w:left="644" w:hanging="360"/>
              <w:rPr>
                <w:color w:val="000000"/>
              </w:rPr>
            </w:pPr>
            <w:r>
              <w:rPr>
                <w:color w:val="000000"/>
              </w:rPr>
              <w:t>5.</w:t>
            </w:r>
          </w:p>
        </w:tc>
        <w:tc>
          <w:tcPr>
            <w:tcW w:w="3706" w:type="dxa"/>
            <w:tcBorders>
              <w:top w:val="single" w:sz="4" w:space="0" w:color="000000"/>
              <w:left w:val="single" w:sz="4" w:space="0" w:color="000000"/>
              <w:bottom w:val="single" w:sz="4" w:space="0" w:color="000000"/>
              <w:right w:val="single" w:sz="4" w:space="0" w:color="000000"/>
            </w:tcBorders>
          </w:tcPr>
          <w:p>
            <w:pPr>
              <w:pStyle w:val="Normal1"/>
              <w:widowControl w:val="false"/>
              <w:rPr>
                <w:color w:val="222222"/>
              </w:rPr>
            </w:pPr>
            <w:r>
              <w:rPr/>
            </w:r>
          </w:p>
          <w:p>
            <w:pPr>
              <w:pStyle w:val="Normal1"/>
              <w:widowControl w:val="false"/>
              <w:spacing w:before="0" w:after="160"/>
              <w:rPr/>
            </w:pPr>
            <w:r>
              <w:rPr>
                <w:color w:val="222222"/>
              </w:rPr>
              <w:t>Business Model (Revenue Model)</w:t>
            </w:r>
          </w:p>
        </w:tc>
        <w:tc>
          <w:tcPr>
            <w:tcW w:w="4515"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rPr/>
            </w:pPr>
            <w:r>
              <w:rPr/>
              <w:t>The application can generate revenue through premium subscriptions, advertisements, partnerships with stock brokers, educational courses, and integration with real-time market data providers.</w:t>
            </w:r>
          </w:p>
        </w:tc>
      </w:tr>
      <w:tr>
        <w:trPr>
          <w:trHeight w:val="817" w:hRule="atLeast"/>
        </w:trPr>
        <w:tc>
          <w:tcPr>
            <w:tcW w:w="854" w:type="dxa"/>
            <w:tcBorders>
              <w:top w:val="single" w:sz="4" w:space="0" w:color="000000"/>
              <w:left w:val="single" w:sz="4" w:space="0" w:color="000000"/>
              <w:bottom w:val="single" w:sz="4" w:space="0" w:color="000000"/>
              <w:right w:val="single" w:sz="4" w:space="0" w:color="000000"/>
            </w:tcBorders>
          </w:tcPr>
          <w:p>
            <w:pPr>
              <w:pStyle w:val="Normal1"/>
              <w:widowControl w:val="false"/>
              <w:pBdr/>
              <w:spacing w:lineRule="auto" w:line="259" w:before="0" w:after="160"/>
              <w:ind w:left="644" w:hanging="360"/>
              <w:rPr>
                <w:color w:val="000000"/>
              </w:rPr>
            </w:pPr>
            <w:r>
              <w:rPr>
                <w:color w:val="000000"/>
              </w:rPr>
            </w:r>
          </w:p>
          <w:p>
            <w:pPr>
              <w:pStyle w:val="Normal1"/>
              <w:widowControl w:val="false"/>
              <w:pBdr/>
              <w:spacing w:lineRule="auto" w:line="259" w:before="0" w:after="160"/>
              <w:ind w:left="644" w:hanging="360"/>
              <w:rPr>
                <w:color w:val="000000"/>
              </w:rPr>
            </w:pPr>
            <w:r>
              <w:rPr>
                <w:color w:val="000000"/>
              </w:rPr>
              <w:t>6.</w:t>
            </w:r>
          </w:p>
        </w:tc>
        <w:tc>
          <w:tcPr>
            <w:tcW w:w="3706" w:type="dxa"/>
            <w:tcBorders>
              <w:top w:val="single" w:sz="4" w:space="0" w:color="000000"/>
              <w:left w:val="single" w:sz="4" w:space="0" w:color="000000"/>
              <w:bottom w:val="single" w:sz="4" w:space="0" w:color="000000"/>
              <w:right w:val="single" w:sz="4" w:space="0" w:color="000000"/>
            </w:tcBorders>
          </w:tcPr>
          <w:p>
            <w:pPr>
              <w:pStyle w:val="Normal1"/>
              <w:widowControl w:val="false"/>
              <w:rPr>
                <w:color w:val="222222"/>
              </w:rPr>
            </w:pPr>
            <w:r>
              <w:rPr/>
            </w:r>
          </w:p>
          <w:p>
            <w:pPr>
              <w:pStyle w:val="Normal1"/>
              <w:widowControl w:val="false"/>
              <w:spacing w:before="0" w:after="160"/>
              <w:rPr>
                <w:color w:val="222222"/>
              </w:rPr>
            </w:pPr>
            <w:r>
              <w:rPr>
                <w:color w:val="222222"/>
              </w:rPr>
              <w:t>Scalability of the Solution</w:t>
            </w:r>
          </w:p>
        </w:tc>
        <w:tc>
          <w:tcPr>
            <w:tcW w:w="4515"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rPr/>
            </w:pPr>
            <w:r>
              <w:rPr/>
              <w:t>The application is built using the MERN Stack, making it highly scalable. Future enhancements can include live stock price APIs, watchlists, stock charts, notifications, AI-based investment suggestions, and mobile application support.</w:t>
            </w:r>
          </w:p>
        </w:tc>
      </w:tr>
    </w:tbl>
    <w:p>
      <w:pPr>
        <w:pStyle w:val="Normal1"/>
        <w:widowControl/>
        <w:bidi w:val="0"/>
        <w:spacing w:lineRule="auto" w:line="259" w:before="0" w:after="160"/>
        <w:jc w:val="left"/>
        <w:rPr/>
      </w:pPr>
      <w:r>
        <w:rPr/>
      </w:r>
    </w:p>
    <w:sectPr>
      <w:type w:val="nextPage"/>
      <w:pgSz w:w="11906" w:h="16838"/>
      <w:pgMar w:left="1440" w:right="1440" w:gutter="0" w:header="0" w:top="851"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libri">
    <w:charset w:val="01"/>
    <w:family w:val="roman"/>
    <w:pitch w:val="variable"/>
  </w:font>
  <w:font w:name="Liberation Sans">
    <w:altName w:val="Arial"/>
    <w:charset w:val="01"/>
    <w:family w:val="swiss"/>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Georgia">
    <w:charset w:val="01"/>
    <w:family w:val="roman"/>
    <w:pitch w:val="variable"/>
    <w:embedRegular r:id="rId17" w:fontKey="{11014A78-CABC-4EF0-12AC-5CD89AEFDE11}"/>
    <w:embedBold r:id="rId18" w:fontKey="{12014A78-CABC-4EF0-12AC-5CD89AEFDE12}"/>
    <w:embedItalic r:id="rId19" w:fontKey="{13014A78-CABC-4EF0-12AC-5CD89AEFDE13}"/>
    <w:embedBoldItalic r:id="rId20" w:fontKey="{14014A78-CABC-4EF0-12AC-5CD89AEFDE14}"/>
  </w:font>
</w:fonts>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name w:val="Normal"/>
    <w:qFormat/>
    <w:pPr>
      <w:widowControl/>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spacing w:lineRule="auto" w:line="240" w:before="480" w:after="120"/>
    </w:pPr>
    <w:rPr>
      <w:b/>
      <w:bCs/>
      <w:sz w:val="48"/>
      <w:szCs w:val="48"/>
    </w:rPr>
  </w:style>
  <w:style w:type="paragraph" w:styleId="Heading2">
    <w:name w:val="Heading 2"/>
    <w:basedOn w:val="Normal1"/>
    <w:next w:val="Normal1"/>
    <w:qFormat/>
    <w:pPr>
      <w:keepNext w:val="true"/>
      <w:keepLines/>
      <w:spacing w:lineRule="auto" w:line="240" w:before="360" w:after="80"/>
    </w:pPr>
    <w:rPr>
      <w:b/>
      <w:bCs/>
      <w:sz w:val="36"/>
      <w:szCs w:val="36"/>
    </w:rPr>
  </w:style>
  <w:style w:type="paragraph" w:styleId="Heading3">
    <w:name w:val="Heading 3"/>
    <w:basedOn w:val="Normal1"/>
    <w:next w:val="Normal1"/>
    <w:qFormat/>
    <w:pPr>
      <w:keepNext w:val="true"/>
      <w:keepLines/>
      <w:spacing w:lineRule="auto" w:line="240" w:before="280" w:after="80"/>
    </w:pPr>
    <w:rPr>
      <w:b/>
      <w:bCs/>
      <w:sz w:val="28"/>
      <w:szCs w:val="28"/>
    </w:rPr>
  </w:style>
  <w:style w:type="paragraph" w:styleId="Heading4">
    <w:name w:val="Heading 4"/>
    <w:basedOn w:val="Normal1"/>
    <w:next w:val="Normal1"/>
    <w:qFormat/>
    <w:pPr>
      <w:keepNext w:val="true"/>
      <w:keepLines/>
      <w:spacing w:lineRule="auto" w:line="240" w:before="240" w:after="40"/>
    </w:pPr>
    <w:rPr>
      <w:b/>
      <w:bCs/>
      <w:sz w:val="24"/>
      <w:szCs w:val="24"/>
    </w:rPr>
  </w:style>
  <w:style w:type="paragraph" w:styleId="Heading5">
    <w:name w:val="Heading 5"/>
    <w:basedOn w:val="Normal1"/>
    <w:next w:val="Normal1"/>
    <w:qFormat/>
    <w:pPr>
      <w:keepNext w:val="true"/>
      <w:keepLines/>
      <w:spacing w:lineRule="auto" w:line="240" w:before="220" w:after="40"/>
    </w:pPr>
    <w:rPr>
      <w:b/>
      <w:bCs/>
    </w:rPr>
  </w:style>
  <w:style w:type="paragraph" w:styleId="Heading6">
    <w:name w:val="Heading 6"/>
    <w:basedOn w:val="Normal1"/>
    <w:next w:val="Normal1"/>
    <w:qFormat/>
    <w:pPr>
      <w:keepNext w:val="true"/>
      <w:keepLines/>
      <w:spacing w:lineRule="auto" w:line="240" w:before="200" w:after="40"/>
    </w:pPr>
    <w:rPr>
      <w:b/>
      <w:bCs/>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spacing w:lineRule="auto" w:line="240" w:before="480" w:after="120"/>
    </w:pPr>
    <w:rPr>
      <w:b/>
      <w:bCs/>
      <w:sz w:val="72"/>
      <w:szCs w:val="72"/>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4</TotalTime>
  <Application>LibreOffice/7.3.7.2$Linux_X86_64 LibreOffice_project/30$Build-2</Application>
  <AppVersion>15.0000</AppVersion>
  <Pages>2</Pages>
  <Words>257</Words>
  <Characters>1594</Characters>
  <CharactersWithSpaces>1820</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2026-07-01T20:51:39Z</dcterms:modified>
  <cp:revision>1</cp:revision>
  <dc:subject/>
  <dc:title/>
</cp:coreProperties>
</file>