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DC2626"/>
          <w:sz w:val="24"/>
        </w:rPr>
        <w:t>PCMO PODCASTS</w:t>
      </w:r>
    </w:p>
    <w:p>
      <w:pPr>
        <w:spacing w:after="200"/>
        <w:jc w:val="center"/>
      </w:pPr>
      <w:r>
        <w:rPr>
          <w:b/>
          <w:color w:val="0B3764"/>
          <w:sz w:val="56"/>
        </w:rPr>
        <w:t>How Sponsors Create Clarity Before Delivery Pressure Increases</w:t>
      </w:r>
    </w:p>
    <w:p>
      <w:pPr>
        <w:jc w:val="center"/>
      </w:pPr>
      <w:r>
        <w:rPr>
          <w:i/>
          <w:color w:val="475569"/>
          <w:sz w:val="26"/>
        </w:rPr>
        <w:t>Governance | Full episode transcript and learning guide</w:t>
      </w:r>
    </w:p>
    <w:p>
      <w:pPr>
        <w:spacing w:before="600"/>
        <w:jc w:val="center"/>
        <w:pBdr>
          <w:bottom w:val="single" w:sz="12" w:space="5" w:color="DC2626"/>
        </w:pBdr>
      </w:pPr>
      <w:r>
        <w:rPr>
          <w:b/>
          <w:color w:val="0B3764"/>
        </w:rPr>
        <w:t>Project &amp; Contracts Management Organisation</w:t>
      </w:r>
    </w:p>
    <w:p>
      <w:r>
        <w:br w:type="page"/>
      </w:r>
    </w:p>
    <w:p>
      <w:pPr>
        <w:pStyle w:val="Heading1"/>
      </w:pPr>
      <w:r>
        <w:t>Episode overview</w:t>
      </w:r>
    </w:p>
    <w:p>
      <w:r>
        <w:t>This PCMO episode examines how sponsors create clarity before delivery pressure increases through the lens of professional practice. It is designed to help listeners connect principles with decisions, controls, behaviours, and evidence in real project and contract environments.</w:t>
      </w:r>
    </w:p>
    <w:p>
      <w:pPr>
        <w:pStyle w:val="Heading2"/>
      </w:pPr>
      <w:r>
        <w:t>Learning objectives</w:t>
      </w:r>
    </w:p>
    <w:p>
      <w:pPr>
        <w:pStyle w:val="ListBullet"/>
      </w:pPr>
      <w:r>
        <w:t>Recognise the professional issue and why it matters.</w:t>
      </w:r>
    </w:p>
    <w:p>
      <w:pPr>
        <w:pStyle w:val="ListBullet"/>
      </w:pPr>
      <w:r>
        <w:t>Identify practical controls, questions, and behaviours.</w:t>
      </w:r>
    </w:p>
    <w:p>
      <w:pPr>
        <w:pStyle w:val="ListBullet"/>
      </w:pPr>
      <w:r>
        <w:t>Evaluate how context changes the appropriate response.</w:t>
      </w:r>
    </w:p>
    <w:p>
      <w:pPr>
        <w:pStyle w:val="ListBullet"/>
      </w:pPr>
      <w:r>
        <w:t>Select actions for further learning and workplace application.</w:t>
      </w:r>
    </w:p>
    <w:p>
      <w:pPr>
        <w:pStyle w:val="Heading1"/>
      </w:pPr>
      <w:r>
        <w:t>Full discussion transcript</w:t>
      </w:r>
    </w:p>
    <w:p>
      <w:pPr>
        <w:pStyle w:val="Heading2"/>
      </w:pPr>
      <w:r>
        <w:t>1. Sponsors connect the business outcome with authority, resources, priorities, risk appetite, and governance</w:t>
      </w:r>
    </w:p>
    <w:p>
      <w:r>
        <w:t>Sponsors connect the business outcome with authority, resources, priorities, risk appetite, and governance.</w:t>
      </w:r>
    </w:p>
    <w:p>
      <w:r>
        <w:t>In practice, this requires professionals to test the quality of available information, clarify ownership and authority, consider risk and contractual context, communicate uncertainty honestly, and retain evidence of material decisions. The correct response should be proportionate to scale, complexity, urgency, stakeholder impact, and applicable obligations.</w:t>
      </w:r>
    </w:p>
    <w:p>
      <w:r>
        <w:t>The discussion also emphasises constructive challenge. Teams should ask what is known, what remains assumed, which evidence can be verified, what could change the conclusion, who is authorised to decide, and how the outcome will be monitored. These questions turn the topic from general advice into a controlled professional conversation.</w:t>
      </w:r>
    </w:p>
    <w:p>
      <w:pPr>
        <w:pStyle w:val="Heading2"/>
      </w:pPr>
      <w:r>
        <w:t>2. Teams need clarity about success, tolerances, decision rights, escalation, and benefits ownership</w:t>
      </w:r>
    </w:p>
    <w:p>
      <w:r>
        <w:t>Teams need clarity about success, tolerances, decision rights, escalation, and benefits ownership.</w:t>
      </w:r>
    </w:p>
    <w:p>
      <w:r>
        <w:t>In practice, this requires professionals to test the quality of available information, clarify ownership and authority, consider risk and contractual context, communicate uncertainty honestly, and retain evidence of material decisions. The correct response should be proportionate to scale, complexity, urgency, stakeholder impact, and applicable obligations.</w:t>
      </w:r>
    </w:p>
    <w:p>
      <w:r>
        <w:t>The discussion also emphasises constructive challenge. Teams should ask what is known, what remains assumed, which evidence can be verified, what could change the conclusion, who is authorised to decide, and how the outcome will be monitored. These questions turn the topic from general advice into a controlled professional conversation.</w:t>
      </w:r>
    </w:p>
    <w:p>
      <w:pPr>
        <w:pStyle w:val="Heading2"/>
      </w:pPr>
      <w:r>
        <w:t>3. Effective sponsorship challenges optimism while protecting constructive reporting</w:t>
      </w:r>
    </w:p>
    <w:p>
      <w:r>
        <w:t>Effective sponsorship challenges optimism while protecting constructive reporting.</w:t>
      </w:r>
    </w:p>
    <w:p>
      <w:r>
        <w:t>In practice, this requires professionals to test the quality of available information, clarify ownership and authority, consider risk and contractual context, communicate uncertainty honestly, and retain evidence of material decisions. The correct response should be proportionate to scale, complexity, urgency, stakeholder impact, and applicable obligations.</w:t>
      </w:r>
    </w:p>
    <w:p>
      <w:r>
        <w:t>The discussion also emphasises constructive challenge. Teams should ask what is known, what remains assumed, which evidence can be verified, what could change the conclusion, who is authorised to decide, and how the outcome will be monitored. These questions turn the topic from general advice into a controlled professional conversation.</w:t>
      </w:r>
    </w:p>
    <w:p>
      <w:pPr>
        <w:pStyle w:val="Heading2"/>
      </w:pPr>
      <w:r>
        <w:t>4. Visible, timely decisions prevent unresolved ambiguity from becoming delivery delay</w:t>
      </w:r>
    </w:p>
    <w:p>
      <w:r>
        <w:t>Visible, timely decisions prevent unresolved ambiguity from becoming delivery delay.</w:t>
      </w:r>
    </w:p>
    <w:p>
      <w:r>
        <w:t>In practice, this requires professionals to test the quality of available information, clarify ownership and authority, consider risk and contractual context, communicate uncertainty honestly, and retain evidence of material decisions. The correct response should be proportionate to scale, complexity, urgency, stakeholder impact, and applicable obligations.</w:t>
      </w:r>
    </w:p>
    <w:p>
      <w:r>
        <w:t>The discussion also emphasises constructive challenge. Teams should ask what is known, what remains assumed, which evidence can be verified, what could change the conclusion, who is authorised to decide, and how the outcome will be monitored. These questions turn the topic from general advice into a controlled professional conversation.</w:t>
      </w:r>
    </w:p>
    <w:p>
      <w:pPr>
        <w:pStyle w:val="Heading1"/>
      </w:pPr>
      <w:r>
        <w:t>Practical takeaways</w:t>
      </w:r>
    </w:p>
    <w:p>
      <w:pPr>
        <w:pStyle w:val="ListBullet"/>
      </w:pPr>
      <w:r>
        <w:t>Confirm the outcome and measurable benefits.</w:t>
      </w:r>
    </w:p>
    <w:p>
      <w:pPr>
        <w:pStyle w:val="ListBullet"/>
      </w:pPr>
      <w:r>
        <w:t>Publish decision rights and tolerances.</w:t>
      </w:r>
    </w:p>
    <w:p>
      <w:pPr>
        <w:pStyle w:val="ListBullet"/>
      </w:pPr>
      <w:r>
        <w:t>Schedule stage gates around real decisions.</w:t>
      </w:r>
    </w:p>
    <w:p>
      <w:pPr>
        <w:pStyle w:val="ListBullet"/>
      </w:pPr>
      <w:r>
        <w:t>Remove organisational barriers promptly.</w:t>
      </w:r>
    </w:p>
    <w:p>
      <w:pPr>
        <w:pStyle w:val="ListBullet"/>
      </w:pPr>
      <w:r>
        <w:t>Review whether governance is helping delivery.</w:t>
      </w:r>
    </w:p>
    <w:p>
      <w:pPr>
        <w:pStyle w:val="Heading1"/>
      </w:pPr>
      <w:r>
        <w:t>Reflection questions</w:t>
      </w:r>
    </w:p>
    <w:p>
      <w:pPr>
        <w:pStyle w:val="ListNumber"/>
      </w:pPr>
      <w:r>
        <w:t>Where does this issue appear in your current environment?</w:t>
      </w:r>
    </w:p>
    <w:p>
      <w:pPr>
        <w:pStyle w:val="ListNumber"/>
      </w:pPr>
      <w:r>
        <w:t>Which existing control is strongest, and which needs improvement?</w:t>
      </w:r>
    </w:p>
    <w:p>
      <w:pPr>
        <w:pStyle w:val="ListNumber"/>
      </w:pPr>
      <w:r>
        <w:t>What evidence would demonstrate a better decision or outcome?</w:t>
      </w:r>
    </w:p>
    <w:p>
      <w:pPr>
        <w:pStyle w:val="ListNumber"/>
      </w:pPr>
      <w:r>
        <w:t>Who should be involved before action is taken?</w:t>
      </w:r>
    </w:p>
    <w:p>
      <w:pPr>
        <w:pStyle w:val="ListNumber"/>
      </w:pPr>
      <w:r>
        <w:t>What will you do differently in the next thirty days?</w:t>
      </w:r>
    </w:p>
    <w:p>
      <w:pPr>
        <w:pStyle w:val="Heading1"/>
      </w:pPr>
      <w:r>
        <w:t>Related PCMO learning</w:t>
      </w:r>
    </w:p>
    <w:p>
      <w:r>
        <w:t>Continue through the PCMO Learning, Standards, Certifications, Career Resources, Thought Leadership, and Library pages. Apply guidance proportionately and obtain qualified legal, contractual, financial, technical, or professional advice where required.</w:t>
      </w:r>
    </w:p>
    <w:p>
      <w:pPr>
        <w:pStyle w:val="Heading1"/>
      </w:pPr>
      <w:r>
        <w:t>Professional-use notice</w:t>
      </w:r>
    </w:p>
    <w:p>
      <w:r>
        <w:t>This transcript supports education and professional discussion. It does not replace governing law, contract terms, organisational policy, standards, or specialist advice. Protect confidential and personal information when discussing examples.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6"/>
      </w:rPr>
      <w:t>Project &amp; Contracts Management Organisation | Member learning resource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8"/>
      </w:rPr>
      <w:t>PCMO Podcasts | Episode Transcript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B3764"/>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B3764"/>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