
<file path=[Content_Types].xml><?xml version="1.0" encoding="utf-8"?>
<Types xmlns="http://schemas.openxmlformats.org/package/2006/content-types">
  <Default ContentType="image/jpeg" Extension="jpeg"/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240" w:before="0" w:line="276" w:lineRule="auto"/>
        <w:ind w:firstLine="0" w:start="0"/>
        <w:jc w:val="center"/>
      </w:pPr>
      <w:r>
        <w:rPr>
          <w:rFonts w:ascii="Cambria Bold" w:hAnsi="Cambria Bold" w:cs="Cambria Bold" w:eastAsia="Cambria Bold"/>
          <w:b/>
          <w:bCs/>
          <w:color w:val="000000"/>
          <w:sz w:val="32"/>
          <w:szCs w:val="32"/>
        </w:rPr>
        <w:t>DIGITAL MARKETING MAJOR PROJECT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Cambria Bold" w:hAnsi="Cambria Bold" w:cs="Cambria Bold" w:eastAsia="Cambria Bold"/>
          <w:b/>
          <w:bCs/>
          <w:color w:val="000000"/>
          <w:sz w:val="40"/>
          <w:szCs w:val="40"/>
        </w:rPr>
        <w:t>SOCIAL MEDIA MARKETING STRATEGY FOR A FASHION BRAND – GlowLogics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Cambria" w:hAnsi="Cambria" w:cs="Cambria" w:eastAsia="Cambria"/>
          <w:color w:val="000000"/>
          <w:sz w:val="22"/>
          <w:szCs w:val="22"/>
        </w:rPr>
        <w:t>Prepared by: BOOMIKAA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Cambria" w:hAnsi="Cambria" w:cs="Cambria" w:eastAsia="Cambria"/>
          <w:color w:val="000000"/>
          <w:sz w:val="22"/>
          <w:szCs w:val="22"/>
        </w:rPr>
        <w:t>Academic Year: 2026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Page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240" w:before="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32"/>
          <w:szCs w:val="32"/>
        </w:rPr>
        <w:t>2. Certificate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This is to certify that BOOMIKAA has completed this project as part of the B.Com Final Year academic requirements.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Page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240" w:before="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32"/>
          <w:szCs w:val="32"/>
        </w:rPr>
        <w:t>3. Declaration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I declare that this project is prepared for academic purposes. Numerical projections and market assumptions should be verified before formal submission.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Page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240" w:before="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32"/>
          <w:szCs w:val="32"/>
        </w:rPr>
        <w:t>4. Table of Contents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The project covers brand profile, market, audience, strategy, content, influencer marketing, paid media, analytics, implementation and recommendations.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Page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240" w:before="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32"/>
          <w:szCs w:val="32"/>
        </w:rPr>
        <w:t>5. Executive Summary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GlowLogics is proposed as an affordable, Instagram-first fashion brand for young Indian consumers. The strategy combines content, creators, community engagement and paid promotion.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Page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240" w:before="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32"/>
          <w:szCs w:val="32"/>
        </w:rPr>
        <w:t>6. Introduction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Social media is an important fashion discovery and communication channel. Short-form video, creators and social commerce can support awareness and conversion.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Page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240" w:before="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32"/>
          <w:szCs w:val="32"/>
        </w:rPr>
        <w:t>7. Brand Profile – GlowLogics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GlowLogics is a proposed youth-focused fashion brand offering affordable, trend-inspired clothing and accessories. Brand personality: confidence, everyday style and visual storytelling.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Page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240" w:before="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32"/>
          <w:szCs w:val="32"/>
        </w:rPr>
        <w:t>8. Marketing Objectives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Increase Instagram reach and profile visits.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Build a consistent content identity.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Generate measurable enquiries or website traffic.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Test influencer and paid-media campaigns.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Track results with clear KPIs.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Page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240" w:before="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32"/>
          <w:szCs w:val="32"/>
        </w:rPr>
        <w:t>9. Target Market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The proposed audience is Indian young adults interested in affordable fashion, styling ideas and social-media trends. Validate assumptions through customer research.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Page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240" w:before="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32"/>
          <w:szCs w:val="32"/>
        </w:rPr>
        <w:t>10. Research Methodology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Proposed methods include secondary research, competitor observation, social-media analysis, a Google Forms survey and boutique-owner interviews. Replace any illustrative findings with actual collected results.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Page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240" w:before="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32"/>
          <w:szCs w:val="32"/>
        </w:rPr>
        <w:t>11. Competitor Analysis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3009"/>
        <w:gridCol w:w="3009"/>
        <w:gridCol w:w="3009"/>
      </w:tblGrid>
      <w:tr>
        <w:tc>
          <w:tcPr>
            <w:tcW w:w="300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000000"/>
                <w:sz w:val="22"/>
                <w:szCs w:val="22"/>
              </w:rPr>
              <w:t>Brand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0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000000"/>
                <w:sz w:val="22"/>
                <w:szCs w:val="22"/>
              </w:rPr>
              <w:t>Strength observed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0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000000"/>
                <w:sz w:val="22"/>
                <w:szCs w:val="22"/>
              </w:rPr>
              <w:t>GlowLogics opportunity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0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Zudio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0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Value-oriented fashion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0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Community storytelling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0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H&amp;M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0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Global brand identity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0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Local creators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0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Myntra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0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Large assortment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0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Focused niche experience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/>
        <w:jc w:val="center"/>
      </w:pPr>
      <w:r>
        <w:drawing>
          <wp:inline>
            <wp:extent cx="5734050" cy="3823894"/>
            <wp:docPr id="0" name="Drawing 0" descr="c8f8fe1b1db646667f9b41438385f288.jp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8f8fe1b1db646667f9b41438385f288.jp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823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Page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240" w:before="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32"/>
          <w:szCs w:val="32"/>
        </w:rPr>
        <w:t>12. Instagram Profile Mockup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Suggested profile: clear logo, concise bio, category keywords, CTA and highlights for New Arrivals, Reviews, Size Guide and Offers.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Cambria Bold" w:hAnsi="Cambria Bold" w:cs="Cambria Bold" w:eastAsia="Cambria Bold"/>
          <w:b/>
          <w:bCs/>
          <w:color w:val="000000"/>
          <w:sz w:val="22"/>
          <w:szCs w:val="22"/>
        </w:rPr>
        <w:t>GlowLogics Instagram Profile Mockup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1600200" cy="2133600"/>
            <wp:docPr id="1" name="Drawing 1" descr="cffe50d330ee4c70fc17661b1ae5e4ad.jp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ffe50d330ee4c70fc17661b1ae5e4ad.jp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16002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Page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240" w:before="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32"/>
          <w:szCs w:val="32"/>
        </w:rPr>
        <w:t>13. Brand Positioning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Proposed positioning: affordable, expressive and easy-to-style fashion for young Indian consumers.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Page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240" w:before="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32"/>
          <w:szCs w:val="32"/>
        </w:rPr>
        <w:t>14. Content Pillars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Product/style education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Entertainment and trends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Social proof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Community content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3823894"/>
            <wp:docPr id="2" name="Drawing 2" descr="cb5c524b2c66a766863e2f6748fe586a.jp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b5c524b2c66a766863e2f6748fe586a.jp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823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Page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240" w:before="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32"/>
          <w:szCs w:val="32"/>
        </w:rPr>
        <w:t>15. Content Formats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Use Reels, carousels, stories, static posts, polls, quizzes and testimonials.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Page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240" w:before="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32"/>
          <w:szCs w:val="32"/>
        </w:rPr>
        <w:t>16. 30-Day Content Calendar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A sample month can include launches, styling tutorials, creator videos, testimonials, polls, behind-the-scenes posts and offer reminders.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3823894"/>
            <wp:docPr id="3" name="Drawing 3" descr="1c30b072f461095feaee190b074a5354.jp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1c30b072f461095feaee190b074a5354.jp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823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Page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240" w:before="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32"/>
          <w:szCs w:val="32"/>
        </w:rPr>
        <w:t>17. Reels Strategy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Open with a clear visual hook, communicate one idea quickly and finish with a simple CTA. Example: three ways to style one top.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Page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240" w:before="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32"/>
          <w:szCs w:val="32"/>
        </w:rPr>
        <w:t>18. Stories Strategy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Use polls, questions, countdowns, product links, restock notices and customer reposts.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Page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240" w:before="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32"/>
          <w:szCs w:val="32"/>
        </w:rPr>
        <w:t>19. User Generated Content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Encourage customers to tag GlowLogics and use a campaign hashtag. Obtain permission before reposting customer content.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Page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240" w:before="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32"/>
          <w:szCs w:val="32"/>
        </w:rPr>
        <w:t>20. Influencer Marketing Strategy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Use a tiered creator plan with nano, micro and larger creators. Select for relevance, content quality, authenticity and transparent disclosures.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Page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240" w:before="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32"/>
          <w:szCs w:val="32"/>
        </w:rPr>
        <w:t>21. Influencer Shortlist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Illustrative structure: 15 nano creators, 10 micro creators and 1 larger creator. Insert current verified creator data before submission.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Page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240" w:before="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32"/>
          <w:szCs w:val="32"/>
        </w:rPr>
        <w:t>22. Paid Social Advertising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Test awareness, video-view, traffic, engagement and conversion campaigns with small budgets before scaling.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Page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240" w:before="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32"/>
          <w:szCs w:val="32"/>
        </w:rPr>
        <w:t>23. Budget Allocation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4515"/>
        <w:gridCol w:w="4515"/>
      </w:tblGrid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000000"/>
                <w:sz w:val="22"/>
                <w:szCs w:val="22"/>
              </w:rPr>
              <w:t>Activity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000000"/>
                <w:sz w:val="22"/>
                <w:szCs w:val="22"/>
              </w:rPr>
              <w:t>Illustrative budget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Influencer collaborations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₹80,000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Paid advertising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₹60,000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Content production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₹35,000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Design/photography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₹15,000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Contingency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₹10,000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Total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₹2,00,000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/>
        <w:jc w:val="center"/>
      </w:pPr>
      <w:r>
        <w:drawing>
          <wp:inline>
            <wp:extent cx="5734050" cy="4963537"/>
            <wp:docPr id="4" name="Drawing 4" descr="f8a9d799931387217d99a1ed09a559ac.jp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8a9d799931387217d99a1ed09a559ac.jp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4963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Page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240" w:before="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32"/>
          <w:szCs w:val="32"/>
        </w:rPr>
        <w:t>24. Community Management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Respond to comments and DMs promptly, answer product questions clearly and escalate complaints through a defined process.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Page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240" w:before="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32"/>
          <w:szCs w:val="32"/>
        </w:rPr>
        <w:t>25. Conversion Funnel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Awareness → engagement → visit → consideration → purchase → review/UGC → repeat purchase.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1600200" cy="2000250"/>
            <wp:docPr id="5" name="Drawing 5" descr="78a6d060459634fab03dc22daead2e99.jp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78a6d060459634fab03dc22daead2e99.jp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16002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Page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240" w:before="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32"/>
          <w:szCs w:val="32"/>
        </w:rPr>
        <w:t>26. Measurement Framework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Track reach, impressions, video views, engagement, profile visits, clicks, enquiries, conversions, cost per result and attributed revenue.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Page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240" w:before="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32"/>
          <w:szCs w:val="32"/>
        </w:rPr>
        <w:t>27. KPI Dashboard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Create a weekly dashboard with target, actual, variance and action columns.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Page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3823894"/>
            <wp:docPr id="6" name="Drawing 6" descr="aef68331d7d9caf3d78ec9f0ebe22ce3.jp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ef68331d7d9caf3d78ec9f0ebe22ce3.jp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823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240" w:before="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32"/>
          <w:szCs w:val="32"/>
        </w:rPr>
        <w:t>28. Expected Results &amp; ROI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Illustrative projections only. Use ROAS for attributed revenue divided by spend; use ROI only when profit is included. Replace forecasts with actual campaign data.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5691044"/>
            <wp:docPr id="7" name="Drawing 7" descr="2ff40646717ba9e99af0adcda47028d7.jp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2ff40646717ba9e99af0adcda47028d7.jp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5691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&gt; *Figure 7: Expected Results &amp; ROI - 90 Days Projection (Illustrative - Replace with actual campaign data)*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&gt;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&gt; *Top Chart - KPI Target vs Actual:*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&gt; - Followers Growth: Target 50K, Actual 46.2K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&gt; - Engagement Rate: Target 6%, Actual 5.2%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&gt; - Reach: Target 120K, Actual 135K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&gt; - Website Traffic: Target 15K, Actual 18K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&gt; - Enquiries: Target 200, Actual 180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&gt; - Conversions: Target 80, Actual 92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&gt;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&gt; *Bottom Chart - ROI Calculation:*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&gt; - Spend: Rs.2,00,000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&gt; - Revenue Attributable: Rs.4,80,000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&gt; - Profit (20% margin): Rs.96,000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&gt; - *ROAS = Revenue / Spend = 2.4x*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&gt; - *ROI (Profit based) = (Profit-Spend)/Spend = -52%*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&gt; - *ROI (Revenue based) = 140%*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&gt;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if we calculate profit-only ROI with 20% margin, it's negative initially, but revenue ROAS is 2.4x which is positive for brand building phase. 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240" w:before="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32"/>
          <w:szCs w:val="32"/>
        </w:rPr>
        <w:t>29. Implementation Timeline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Month 1: setup and testing. Month 2: scale strong content. Month 3: optimize conversions and retention. Review weekly.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3404592"/>
            <wp:docPr id="8" name="Drawing 8" descr="aceaa4f055179cf2d00acb95a898385e.jp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aceaa4f055179cf2d00acb95a898385e.jp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40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Page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240" w:before="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32"/>
          <w:szCs w:val="32"/>
        </w:rPr>
        <w:t>30. Risk Management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Risks include weak creator traffic, inconsistent posting, negative comments, ad fatigue, inaccurate claims and poor tracking. Use approval and monitoring workflows.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Page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240" w:before="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32"/>
          <w:szCs w:val="32"/>
        </w:rPr>
        <w:t>31. Recommendations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Prioritize visual consistency, creator authenticity, customer reviews, fast community response, landing-page optimization and disciplined analytics.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Page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240" w:before="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32"/>
          <w:szCs w:val="32"/>
        </w:rPr>
        <w:t>32. Conclusion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GlowLogics can use social media as a measurable customer-acquisition and community-building channel through organic content, creators, paid media and analytics.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Page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240" w:before="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32"/>
          <w:szCs w:val="32"/>
        </w:rPr>
        <w:t>33. References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Use exact sources actually consulted, such as Meta Business resources, Google Skillshop/Analytics resources, academic texts and official competitor profiles.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Page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240" w:before="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32"/>
          <w:szCs w:val="32"/>
        </w:rPr>
        <w:t>34. Appendix – Survey Template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Sample questions: age group, preferred fashion platforms, discovery channels, content formats, price range, creator trust, purchase barriers, payment method and suggestions.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4899028"/>
            <wp:docPr id="9" name="Drawing 9" descr="1086546e064c2194c3dd2b021c80648d.jp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086546e064c2194c3dd2b021c80648d.jp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489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Page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240" w:before="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32"/>
          <w:szCs w:val="32"/>
        </w:rPr>
        <w:t>35. Final Project Checklist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Verify statistics, replace illustrative survey findings with real responses, insert actual screenshots, verify competitor data, add citations, proofread and confirm formatting.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1784151" cy="2283960"/>
            <wp:docPr id="10" name="Drawing 10" descr="38555402b780656b09b076d34890c8fb.jp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38555402b780656b09b076d34890c8fb.jpg"/>
                    <pic:cNvPicPr>
                      <a:picLocks noChangeAspect="true"/>
                    </pic:cNvPicPr>
                  </pic:nvPicPr>
                  <pic:blipFill>
                    <a:blip r:embed="rId13"/>
                    <a:srcRect l="0" t="5155" r="0" b="5155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1784151" cy="228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Page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  <w:pgMar w:top="1440" w:right="1440" w:bottom="1440" w:left="144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">
    <w:panose1 w:val="020B0704020202020204"/>
    <w:charset w:characterSet="1"/>
    <w:embedBold r:id="rId1"/>
  </w:font>
  <w:font w:name="Arimo Bold Italics">
    <w:panose1 w:val="020B0704020202090204"/>
    <w:charset w:characterSet="1"/>
    <w:embedBoldItalic r:id="rId2"/>
  </w:font>
  <w:font w:name="Arimo Italics">
    <w:panose1 w:val="020B0604020202090204"/>
    <w:charset w:characterSet="1"/>
    <w:embedItalic r:id="rId3"/>
  </w:font>
  <w:font w:name="Arimo">
    <w:panose1 w:val="020B0604020202020204"/>
    <w:charset w:characterSet="1"/>
    <w:embedRegular r:id="rId4"/>
  </w:font>
  <w:font w:name="Cambria Bold">
    <w:panose1 w:val="02040803050406030204"/>
    <w:charset w:characterSet="1"/>
  </w:font>
  <w:font w:name="Cambria">
    <w:panose1 w:val="02040503050406030204"/>
    <w:charset w:characterSet="1"/>
  </w:font>
  <w:font w:name="Times New Roman Bold">
    <w:panose1 w:val="02020803070505020304"/>
    <w:charset w:characterSet="1"/>
  </w:font>
  <w:font w:name="Times New Roman Bold Italics">
    <w:panose1 w:val="02020703060505090304"/>
    <w:charset w:characterSet="1"/>
  </w:font>
  <w:font w:name="Times New Roman Italics">
    <w:panose1 w:val="02020503050405090304"/>
    <w:charset w:characterSet="1"/>
  </w:font>
  <w:font w:name="Times New Roman">
    <w:panose1 w:val="02020603050405020304"/>
    <w:charset w:characterSet="1"/>
  </w:font>
  <w:font w:name="Calibri (MS) Bold">
    <w:panose1 w:val="020F0702030404030204"/>
    <w:charset w:characterSet="1"/>
  </w:font>
</w:fonts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8.jpeg" Type="http://schemas.openxmlformats.org/officeDocument/2006/relationships/image"/><Relationship Id="rId11" Target="media/image9.jpeg" Type="http://schemas.openxmlformats.org/officeDocument/2006/relationships/image"/><Relationship Id="rId12" Target="media/image10.jpeg" Type="http://schemas.openxmlformats.org/officeDocument/2006/relationships/image"/><Relationship Id="rId13" Target="media/image11.jpeg" Type="http://schemas.openxmlformats.org/officeDocument/2006/relationships/image"/><Relationship Id="rId2" Target="fontTable.xml" Type="http://schemas.openxmlformats.org/officeDocument/2006/relationships/fontTable"/><Relationship Id="rId3" Target="media/image1.jpeg" Type="http://schemas.openxmlformats.org/officeDocument/2006/relationships/image"/><Relationship Id="rId4" Target="media/image2.jpeg" Type="http://schemas.openxmlformats.org/officeDocument/2006/relationships/image"/><Relationship Id="rId5" Target="media/image3.jpeg" Type="http://schemas.openxmlformats.org/officeDocument/2006/relationships/image"/><Relationship Id="rId6" Target="media/image4.jpeg" Type="http://schemas.openxmlformats.org/officeDocument/2006/relationships/image"/><Relationship Id="rId7" Target="media/image5.jpeg" Type="http://schemas.openxmlformats.org/officeDocument/2006/relationships/image"/><Relationship Id="rId8" Target="media/image6.jpeg" Type="http://schemas.openxmlformats.org/officeDocument/2006/relationships/image"/><Relationship Id="rId9" Target="media/image7.jpe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2026-09-29T16:08:00Z</dcterms:created>
  <dc:creator>Apache POI</dc:creator>
  <dc:title>Major1_GlowLogics_35Pages_BOOMIKAA.docx</dc:title>
</cp:coreProperties>
</file>