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ACH</w:t>
      </w:r>
    </w:p>
    <w:p>
      <w:r>
        <w:t>Unique Autotest document for Template Category ACH.</w:t>
        <w:br/>
        <w:t>Structured like facility rental / addendum packets (AZ-style HB lease</w:t>
        <w:br/>
        <w:t>layouts) for automation validation.</w:t>
      </w:r>
    </w:p>
    <w:p>
      <w:pPr>
        <w:pStyle w:val="Heading2"/>
      </w:pPr>
      <w:r>
        <w:t>1. Parties and Facility</w:t>
      </w:r>
    </w:p>
    <w:p>
      <w:r>
        <w:t>This document is between the Facility Operator and the Occupant.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Purpose — ACH</w:t>
      </w:r>
    </w:p>
    <w:p>
      <w:r>
        <w:t>Occupant acknowledges the terms that apply to the ACH</w:t>
        <w:br/>
        <w:t>category under the Rental Agreement and facility rules. Disclosures</w:t>
        <w:br/>
        <w:t>collected at rental or in Account are incorporated by reference.</w:t>
      </w:r>
    </w:p>
    <w:p>
      <w:pPr>
        <w:pStyle w:val="Heading2"/>
      </w:pPr>
      <w:r>
        <w:t>3. Charges when applicable</w:t>
      </w:r>
    </w:p>
    <w:p>
      <w:r>
        <w:t>Security Deposit:</w:t>
        <w:br/>
        <w:br/>
        <w:t>Insurance / Protection Premium:</w:t>
        <w:br/>
        <w:br/>
        <w:t>Total Move-In Cost:</w:t>
      </w:r>
    </w:p>
    <w:p>
      <w:pPr>
        <w:pStyle w:val="Heading2"/>
      </w:pPr>
      <w:r>
        <w:t>4. Acknowledgement</w:t>
      </w:r>
    </w:p>
    <w:p>
      <w:r>
        <w:t>Occupant's signature (wet ink, clickwrap, or electronic) confirms</w:t>
        <w:br/>
        <w:t>receipt of this ACH document. It may appear under</w:t>
        <w:br/>
        <w:t>Hummingbird tenant Documents with the File Name configured for this</w:t>
        <w:br/>
        <w:t>category on the property.</w:t>
      </w:r>
    </w:p>
    <w:p>
      <w:r>
        <w:t>Autotest marker: HB_MP_AUTOTEST_ACH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