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Authorized Access Addendum</w:t>
      </w:r>
    </w:p>
    <w:p>
      <w:r>
        <w:t>Occupant designates person(s) authorized to access the Space and</w:t>
        <w:br/>
        <w:t>conduct limited business with Owner regarding the Space.</w:t>
      </w:r>
    </w:p>
    <w:p>
      <w:pPr>
        <w:pStyle w:val="Heading2"/>
      </w:pPr>
      <w:r>
        <w:t>1. Occupant and Facility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Authorized Person</w:t>
      </w:r>
    </w:p>
    <w:p>
      <w:r>
        <w:t>Names and contacts provided on the rental form (authorized access</w:t>
        <w:br/>
        <w:t>fields) may enter the Space using Occupant's gate credentials when</w:t>
        <w:br/>
        <w:t>permitted by Owner. Occupant remains liable for their acts.</w:t>
      </w:r>
    </w:p>
    <w:p>
      <w:pPr>
        <w:pStyle w:val="Heading2"/>
      </w:pPr>
      <w:r>
        <w:t>3. Revocation</w:t>
      </w:r>
    </w:p>
    <w:p>
      <w:r>
        <w:t>Occupant may revoke authorization by written notice to Owner.</w:t>
        <w:br/>
        <w:t>Owner may refuse access to any person for safety or policy reasons.</w:t>
      </w:r>
    </w:p>
    <w:p>
      <w:r>
        <w:t>Autotest marker: HB_MP_AUTOTEST_AUTH_ACCESS_V2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