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HB_MP_Automation — Autopay Enrollment Authorization</w:t>
      </w:r>
    </w:p>
    <w:p>
      <w:r>
        <w:t>Occupant authorizes Owner (and its payment processor) to charge the</w:t>
        <w:br/>
        <w:t>payment method on file for recurring rent, fees, and balances due under</w:t>
        <w:br/>
        <w:t>the Rental Agreement.</w:t>
      </w:r>
    </w:p>
    <w:p>
      <w:pPr>
        <w:pStyle w:val="Heading2"/>
      </w:pPr>
      <w:r>
        <w:t>1. Occupant and Facility</w:t>
      </w:r>
    </w:p>
    <w:p>
      <w:r>
        <w:t>Occupant / Tenant Name:</w:t>
        <w:br/>
        <w:br/>
        <w:t>Facility Address:</w:t>
        <w:br/>
        <w:br/>
        <w:t>Total Move-In Cost (initial):</w:t>
      </w:r>
    </w:p>
    <w:p>
      <w:pPr>
        <w:pStyle w:val="Heading2"/>
      </w:pPr>
      <w:r>
        <w:t>2. Authorization</w:t>
      </w:r>
    </w:p>
    <w:p>
      <w:r>
        <w:t>While Autopay is enabled, Owner may initiate charges on or after each</w:t>
        <w:br/>
        <w:t>due date for rent and disclosed fees. Occupant is responsible for</w:t>
        <w:br/>
        <w:t>keeping card or ACH details current. Failed payments may incur NSF or</w:t>
        <w:br/>
        <w:t>late fees and may result in default.</w:t>
      </w:r>
    </w:p>
    <w:p>
      <w:pPr>
        <w:pStyle w:val="Heading2"/>
      </w:pPr>
      <w:r>
        <w:t>3. Cancellation</w:t>
      </w:r>
    </w:p>
    <w:p>
      <w:r>
        <w:t>Occupant may cancel Autopay by notice to Owner per facility policy;</w:t>
        <w:br/>
        <w:t>cancellation does not waive amounts already due.</w:t>
      </w:r>
    </w:p>
    <w:p>
      <w:pPr>
        <w:pStyle w:val="Heading2"/>
      </w:pPr>
      <w:r>
        <w:t>4. Acknowledgement</w:t>
      </w:r>
    </w:p>
    <w:p>
      <w:r>
        <w:t>Occupant acknowledges this Autopay Enrollment Document and agrees</w:t>
        <w:br/>
        <w:t>electronic authorization is valid. Tenant Documents file name:</w:t>
        <w:br/>
        <w:t>Autopay Enrollment Document.</w:t>
      </w:r>
    </w:p>
    <w:p>
      <w:r>
        <w:t>Autotest marker: HB_MP_AUTOTEST_AUTOPAY_V2</w:t>
      </w:r>
    </w:p>
    <w:p>
      <w:pPr>
        <w:pStyle w:val="Heading2"/>
      </w:pPr>
      <w:r>
        <w:t>Merge field anchors (for HB Merge Fields)</w:t>
      </w:r>
    </w:p>
    <w:p>
      <w:r>
        <w:t>Tenant Insurance Name: [Tenant Insurance Name]</w:t>
      </w:r>
    </w:p>
    <w:p>
      <w:r>
        <w:t>Property Address Line 1: [Property Address Line 1]</w:t>
      </w:r>
    </w:p>
    <w:p>
      <w:r>
        <w:t>Total Move-In Cost: [Total Move-In Cost]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