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Rental Agreement (Lease)</w:t>
      </w:r>
    </w:p>
    <w:p>
      <w:r>
        <w:t>Unique automation lease for HB_MP_Automation. Structure mirrors</w:t>
        <w:br/>
        <w:t>facility rental agreements (e.g. AZ-style HB lease layouts) with Autotest</w:t>
        <w:br/>
        <w:t>merge-field anchors for validation.</w:t>
      </w:r>
    </w:p>
    <w:p>
      <w:pPr>
        <w:pStyle w:val="Heading2"/>
      </w:pPr>
      <w:r>
        <w:t>1. Parties</w:t>
      </w:r>
    </w:p>
    <w:p>
      <w:r>
        <w:t>This Rental Agreement ("Agreement") is between the Facility Operator</w:t>
        <w:br/>
        <w:t>("Owner") and the Occupant identified below ("Occupant").</w:t>
      </w:r>
    </w:p>
    <w:p>
      <w:r>
        <w:t>Facility / Property Name:</w:t>
        <w:br/>
        <w:br/>
        <w:t>Facility Address:</w:t>
        <w:br/>
        <w:br/>
        <w:t>Occupant / Tenant Name:</w:t>
        <w:br/>
        <w:br/>
        <w:t>Lease Signed Date:</w:t>
      </w:r>
    </w:p>
    <w:p>
      <w:pPr>
        <w:pStyle w:val="Heading2"/>
      </w:pPr>
      <w:r>
        <w:t>2. Leased Space</w:t>
      </w:r>
    </w:p>
    <w:p>
      <w:r>
        <w:t>Owner leases to Occupant the storage space identified at move-in</w:t>
        <w:br/>
        <w:t>("Space"), accepted as-is. Approximate size and Space number appear on</w:t>
        <w:br/>
        <w:t>the Account Summary and in Hummingbird tenant Documents as</w:t>
        <w:br/>
        <w:t>Leased Space No.</w:t>
      </w:r>
    </w:p>
    <w:p>
      <w:r>
        <w:t>Space / Unit reference: (resolved at generation)</w:t>
      </w:r>
    </w:p>
    <w:p>
      <w:pPr>
        <w:pStyle w:val="Heading2"/>
      </w:pPr>
      <w:r>
        <w:t>3. Term</w:t>
      </w:r>
    </w:p>
    <w:p>
      <w:r>
        <w:t>Unless otherwise stated, this Agreement is month-to-month beginning on</w:t>
        <w:br/>
        <w:t>the Move-In Date and continues until terminated under Owner's policies</w:t>
        <w:br/>
        <w:t>or applicable law. Minimum rental period is one full month unless Owner</w:t>
        <w:br/>
        <w:t>publishes a different schedule.</w:t>
      </w:r>
    </w:p>
    <w:p>
      <w:pPr>
        <w:pStyle w:val="Heading2"/>
      </w:pPr>
      <w:r>
        <w:t>4. Rent, Deposit, and Move-In Charges</w:t>
      </w:r>
    </w:p>
    <w:p>
      <w:r>
        <w:t>Occupant shall pay rent and all disclosed fees in advance without</w:t>
        <w:br/>
        <w:t>demand. Move-in amounts include rent (prorated when applicable),</w:t>
        <w:br/>
        <w:t>security deposit, administrative fees, coverage premiums when enrolled,</w:t>
        <w:br/>
        <w:t>and taxes.</w:t>
      </w:r>
    </w:p>
    <w:p>
      <w:r>
        <w:t>Security Deposit:</w:t>
        <w:br/>
        <w:br/>
        <w:t>Insurance / Protection Premium:</w:t>
        <w:br/>
        <w:br/>
        <w:t>Total Cost To Move-In / Total Move-In Cost:</w:t>
      </w:r>
    </w:p>
    <w:p>
      <w:r>
        <w:t>Late, NSF, and lien fees apply per posted fee schedule. Owner may</w:t>
        <w:br/>
        <w:t>change rates with notice as required by law.</w:t>
      </w:r>
    </w:p>
    <w:p>
      <w:pPr>
        <w:pStyle w:val="Heading2"/>
      </w:pPr>
      <w:r>
        <w:t>5. Use of Space</w:t>
      </w:r>
    </w:p>
    <w:p>
      <w:r>
        <w:t>Space is for storage of personal or business property only. Occupant</w:t>
        <w:br/>
        <w:t>shall not reside in the Space, conduct retail sales from the Space, or</w:t>
        <w:br/>
        <w:t>store explosives, hazardous materials, perishable food that creates a</w:t>
        <w:br/>
        <w:t>nuisance, illegal goods, or property of others without Owner consent.</w:t>
        <w:br/>
        <w:t>No subletting without written consent.</w:t>
      </w:r>
    </w:p>
    <w:p>
      <w:pPr>
        <w:pStyle w:val="Heading2"/>
      </w:pPr>
      <w:r>
        <w:t>6. Access and Locks</w:t>
      </w:r>
    </w:p>
    <w:p>
      <w:r>
        <w:t>Occupant provides their own lock unless Owner supplies one under a</w:t>
        <w:br/>
        <w:t>separate program. Owner may limit access hours, require gate codes, and</w:t>
        <w:br/>
        <w:t>deny access when Occupant is in default. Occupant shall not disable</w:t>
        <w:br/>
        <w:t>alarms or share gate credentials in violation of facility rules.</w:t>
      </w:r>
    </w:p>
    <w:p>
      <w:pPr>
        <w:pStyle w:val="Heading2"/>
      </w:pPr>
      <w:r>
        <w:t>7. Insurance and Risk of Loss</w:t>
      </w:r>
    </w:p>
    <w:p>
      <w:r>
        <w:t>Owner does not insure Occupant's property. Occupant must maintain</w:t>
        <w:br/>
        <w:t>insurance or enroll in an offered protection plan, or Occupant</w:t>
        <w:br/>
        <w:t>self-insures and releases Owner from loss that insurance would cover,</w:t>
        <w:br/>
        <w:t>to the extent permitted by law.</w:t>
      </w:r>
    </w:p>
    <w:p>
      <w:r>
        <w:t>Tenant Insurance Name / Plan:</w:t>
        <w:br/>
        <w:br/>
        <w:t>Tenant Insurance Premium:</w:t>
      </w:r>
    </w:p>
    <w:p>
      <w:pPr>
        <w:pStyle w:val="Heading2"/>
      </w:pPr>
      <w:r>
        <w:t>8. Default, Lien, and Sale</w:t>
      </w:r>
    </w:p>
    <w:p>
      <w:r>
        <w:t>Failure to pay rent or fees when due is default. Owner may deny</w:t>
        <w:br/>
        <w:t>access, overlock the Space, and enforce statutory storage liens,</w:t>
        <w:br/>
        <w:t>including notice and sale of stored property, as allowed by the state</w:t>
        <w:br/>
        <w:t>where the Facility is located.</w:t>
      </w:r>
    </w:p>
    <w:p>
      <w:pPr>
        <w:pStyle w:val="Heading2"/>
      </w:pPr>
      <w:r>
        <w:t>9. Termination and Move-Out</w:t>
      </w:r>
    </w:p>
    <w:p>
      <w:r>
        <w:t>Occupant must give notice per facility policy, remove all property,</w:t>
        <w:br/>
        <w:t>and return the Space broom-clean. Owner may charge cleaning or disposal</w:t>
        <w:br/>
        <w:t>fees for abandoned property.</w:t>
      </w:r>
    </w:p>
    <w:p>
      <w:pPr>
        <w:pStyle w:val="Heading2"/>
      </w:pPr>
      <w:r>
        <w:t>10. Entire Agreement</w:t>
      </w:r>
    </w:p>
    <w:p>
      <w:r>
        <w:t>This Agreement, facility rules, and any signed addenda (military,</w:t>
        <w:br/>
        <w:t>vehicle, autopay, coverage, authorized access) form the entire</w:t>
        <w:br/>
        <w:t>agreement. Occupant's electronic or clickwrap signature is binding.</w:t>
      </w:r>
    </w:p>
    <w:p>
      <w:r>
        <w:t>Autotest marker: HB_MP_AUTOTEST_LEASE_V2_AZSTYLE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