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b/>
          <w:bCs/>
          <w:color w:val="1F3864"/>
          <w:sz w:val="64"/>
          <w:szCs w:val="64"/>
        </w:rPr>
        <w:t xml:space="preserve">SubSense</w:t>
      </w:r>
    </w:p>
    <w:p>
      <w:pPr>
        <w:spacing w:after="100" w:before="200"/>
        <w:jc w:val="center"/>
      </w:pPr>
      <w:r>
        <w:rPr>
          <w:b/>
          <w:bCs/>
          <w:color w:val="2E75B6"/>
          <w:sz w:val="34"/>
          <w:szCs w:val="34"/>
        </w:rPr>
        <w:t xml:space="preserve">TinyML On-Device Inference Subsystem</w:t>
      </w:r>
    </w:p>
    <w:p>
      <w:pPr>
        <w:spacing w:after="600"/>
        <w:jc w:val="center"/>
      </w:pPr>
      <w:r>
        <w:rPr>
          <w:i/>
          <w:iCs/>
          <w:color w:val="595959"/>
          <w:sz w:val="26"/>
          <w:szCs w:val="26"/>
        </w:rPr>
        <w:t xml:space="preserve">Technical Design Document</w:t>
      </w:r>
    </w:p>
    <w:p>
      <w:pPr>
        <w:spacing w:before="1200"/>
        <w:jc w:val="center"/>
      </w:pPr>
      <w:r>
        <w:rPr>
          <w:color w:val="595959"/>
          <w:sz w:val="22"/>
          <w:szCs w:val="22"/>
        </w:rPr>
        <w:t xml:space="preserve">Version 1.0</w:t>
      </w:r>
    </w:p>
    <w:p>
      <w:pPr>
        <w:spacing w:after="100"/>
        <w:jc w:val="center"/>
      </w:pPr>
      <w:r>
        <w:rPr>
          <w:color w:val="595959"/>
          <w:sz w:val="22"/>
          <w:szCs w:val="22"/>
        </w:rPr>
        <w:t xml:space="preserve">Prepared for: Smart India Hackathon Submission</w:t>
      </w:r>
    </w:p>
    <w:p>
      <w:pPr>
        <w:jc w:val="center"/>
      </w:pPr>
      <w:r>
        <w:rPr>
          <w:color w:val="595959"/>
          <w:sz w:val="22"/>
          <w:szCs w:val="22"/>
        </w:rPr>
        <w:t xml:space="preserve">Classification: Confidential</w:t>
      </w:r>
    </w:p>
    <w:p>
      <w:r>
        <w:br w:type="page"/>
      </w:r>
    </w:p>
    <w:p>
      <w:pPr>
        <w:pStyle w:val="Heading1"/>
        <w:pBdr>
          <w:bottom w:val="single" w:color="1F3864" w:sz="6" w:space="4"/>
        </w:pBdr>
        <w:spacing w:after="200" w:before="400"/>
      </w:pPr>
      <w:r>
        <w:rPr>
          <w:b/>
          <w:bCs/>
          <w:color w:val="1F3864"/>
          <w:sz w:val="30"/>
          <w:szCs w:val="30"/>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shd w:fill="1F3864" w:val="clear"/>
            <w:tcMar>
              <w:top w:type="dxa" w:w="80"/>
              <w:left w:type="dxa" w:w="100"/>
              <w:bottom w:type="dxa" w:w="80"/>
              <w:right w:type="dxa" w:w="100"/>
            </w:tcMar>
            <w:vAlign w:val="center"/>
          </w:tcPr>
          <w:p>
            <w:pPr>
              <w:spacing w:after="0"/>
            </w:pPr>
            <w:r>
              <w:rPr>
                <w:b/>
                <w:bCs/>
                <w:color w:val="FFFFFF"/>
                <w:sz w:val="19"/>
                <w:szCs w:val="19"/>
              </w:rPr>
              <w:t xml:space="preserve">Field</w:t>
            </w:r>
          </w:p>
        </w:tc>
        <w:tc>
          <w:tcPr>
            <w:tcW w:type="dxa" w:w="6360"/>
            <w:shd w:fill="1F3864" w:val="clear"/>
            <w:tcMar>
              <w:top w:type="dxa" w:w="80"/>
              <w:left w:type="dxa" w:w="100"/>
              <w:bottom w:type="dxa" w:w="80"/>
              <w:right w:type="dxa" w:w="100"/>
            </w:tcMar>
            <w:vAlign w:val="center"/>
          </w:tcPr>
          <w:p>
            <w:pPr>
              <w:spacing w:after="0"/>
            </w:pPr>
            <w:r>
              <w:rPr>
                <w:b/>
                <w:bCs/>
                <w:color w:val="FFFFFF"/>
                <w:sz w:val="19"/>
                <w:szCs w:val="19"/>
              </w:rPr>
              <w:t xml:space="preserve">Detail</w:t>
            </w:r>
          </w:p>
        </w:tc>
      </w:tr>
      <w:tr>
        <w:tc>
          <w:tcPr>
            <w:tcW w:type="dxa" w:w="3000"/>
            <w:tcMar>
              <w:top w:type="dxa" w:w="80"/>
              <w:left w:type="dxa" w:w="100"/>
              <w:bottom w:type="dxa" w:w="80"/>
              <w:right w:type="dxa" w:w="100"/>
            </w:tcMar>
            <w:vAlign w:val="center"/>
          </w:tcPr>
          <w:p>
            <w:pPr>
              <w:spacing w:after="0"/>
            </w:pPr>
            <w:r>
              <w:rPr>
                <w:sz w:val="19"/>
                <w:szCs w:val="19"/>
              </w:rPr>
              <w:t xml:space="preserve">Document Title</w:t>
            </w:r>
          </w:p>
        </w:tc>
        <w:tc>
          <w:tcPr>
            <w:tcW w:type="dxa" w:w="6360"/>
            <w:tcMar>
              <w:top w:type="dxa" w:w="80"/>
              <w:left w:type="dxa" w:w="100"/>
              <w:bottom w:type="dxa" w:w="80"/>
              <w:right w:type="dxa" w:w="100"/>
            </w:tcMar>
            <w:vAlign w:val="center"/>
          </w:tcPr>
          <w:p>
            <w:pPr>
              <w:spacing w:after="0"/>
            </w:pPr>
            <w:r>
              <w:rPr>
                <w:sz w:val="19"/>
                <w:szCs w:val="19"/>
              </w:rPr>
              <w:t xml:space="preserve">SubSense TinyML On-Device Inference — Technical Design Document</w:t>
            </w:r>
          </w:p>
        </w:tc>
      </w:tr>
      <w:tr>
        <w:tc>
          <w:tcPr>
            <w:tcW w:type="dxa" w:w="3000"/>
            <w:shd w:fill="F5F8FC" w:val="clear"/>
            <w:tcMar>
              <w:top w:type="dxa" w:w="80"/>
              <w:left w:type="dxa" w:w="100"/>
              <w:bottom w:type="dxa" w:w="80"/>
              <w:right w:type="dxa" w:w="100"/>
            </w:tcMar>
            <w:vAlign w:val="center"/>
          </w:tcPr>
          <w:p>
            <w:pPr>
              <w:spacing w:after="0"/>
            </w:pPr>
            <w:r>
              <w:rPr>
                <w:sz w:val="19"/>
                <w:szCs w:val="19"/>
              </w:rPr>
              <w:t xml:space="preserve">Module</w:t>
            </w:r>
          </w:p>
        </w:tc>
        <w:tc>
          <w:tcPr>
            <w:tcW w:type="dxa" w:w="6360"/>
            <w:shd w:fill="F5F8FC" w:val="clear"/>
            <w:tcMar>
              <w:top w:type="dxa" w:w="80"/>
              <w:left w:type="dxa" w:w="100"/>
              <w:bottom w:type="dxa" w:w="80"/>
              <w:right w:type="dxa" w:w="100"/>
            </w:tcMar>
            <w:vAlign w:val="center"/>
          </w:tcPr>
          <w:p>
            <w:pPr>
              <w:spacing w:after="0"/>
            </w:pPr>
            <w:r>
              <w:rPr>
                <w:sz w:val="19"/>
                <w:szCs w:val="19"/>
              </w:rPr>
              <w:t xml:space="preserve">Step 3 (On-Device Intelligence) and Step 4 (AI/ML Intelligence Layer, edge-capable portion); Uniqueness Feature: TinyML on-device inference</w:t>
            </w:r>
          </w:p>
        </w:tc>
      </w:tr>
      <w:tr>
        <w:tc>
          <w:tcPr>
            <w:tcW w:type="dxa" w:w="3000"/>
            <w:tcMar>
              <w:top w:type="dxa" w:w="80"/>
              <w:left w:type="dxa" w:w="100"/>
              <w:bottom w:type="dxa" w:w="80"/>
              <w:right w:type="dxa" w:w="100"/>
            </w:tcMar>
            <w:vAlign w:val="center"/>
          </w:tcPr>
          <w:p>
            <w:pPr>
              <w:spacing w:after="0"/>
            </w:pPr>
            <w:r>
              <w:rPr>
                <w:sz w:val="19"/>
                <w:szCs w:val="19"/>
              </w:rPr>
              <w:t xml:space="preserve">Version</w:t>
            </w:r>
          </w:p>
        </w:tc>
        <w:tc>
          <w:tcPr>
            <w:tcW w:type="dxa" w:w="6360"/>
            <w:tcMar>
              <w:top w:type="dxa" w:w="80"/>
              <w:left w:type="dxa" w:w="100"/>
              <w:bottom w:type="dxa" w:w="80"/>
              <w:right w:type="dxa" w:w="100"/>
            </w:tcMar>
            <w:vAlign w:val="center"/>
          </w:tcPr>
          <w:p>
            <w:pPr>
              <w:spacing w:after="0"/>
            </w:pPr>
            <w:r>
              <w:rPr>
                <w:sz w:val="19"/>
                <w:szCs w:val="19"/>
              </w:rPr>
              <w:t xml:space="preserve">1.0</w:t>
            </w:r>
          </w:p>
        </w:tc>
      </w:tr>
      <w:tr>
        <w:tc>
          <w:tcPr>
            <w:tcW w:type="dxa" w:w="3000"/>
            <w:shd w:fill="F5F8FC" w:val="clear"/>
            <w:tcMar>
              <w:top w:type="dxa" w:w="80"/>
              <w:left w:type="dxa" w:w="100"/>
              <w:bottom w:type="dxa" w:w="80"/>
              <w:right w:type="dxa" w:w="100"/>
            </w:tcMar>
            <w:vAlign w:val="center"/>
          </w:tcPr>
          <w:p>
            <w:pPr>
              <w:spacing w:after="0"/>
            </w:pPr>
            <w:r>
              <w:rPr>
                <w:sz w:val="19"/>
                <w:szCs w:val="19"/>
              </w:rPr>
              <w:t xml:space="preserve">Status</w:t>
            </w:r>
          </w:p>
        </w:tc>
        <w:tc>
          <w:tcPr>
            <w:tcW w:type="dxa" w:w="6360"/>
            <w:shd w:fill="F5F8FC" w:val="clear"/>
            <w:tcMar>
              <w:top w:type="dxa" w:w="80"/>
              <w:left w:type="dxa" w:w="100"/>
              <w:bottom w:type="dxa" w:w="80"/>
              <w:right w:type="dxa" w:w="100"/>
            </w:tcMar>
            <w:vAlign w:val="center"/>
          </w:tcPr>
          <w:p>
            <w:pPr>
              <w:spacing w:after="0"/>
            </w:pPr>
            <w:r>
              <w:rPr>
                <w:sz w:val="19"/>
                <w:szCs w:val="19"/>
              </w:rPr>
              <w:t xml:space="preserve">Draft for hackathon submission / prototype build</w:t>
            </w:r>
          </w:p>
        </w:tc>
      </w:tr>
      <w:tr>
        <w:tc>
          <w:tcPr>
            <w:tcW w:type="dxa" w:w="3000"/>
            <w:tcMar>
              <w:top w:type="dxa" w:w="80"/>
              <w:left w:type="dxa" w:w="100"/>
              <w:bottom w:type="dxa" w:w="80"/>
              <w:right w:type="dxa" w:w="100"/>
            </w:tcMar>
            <w:vAlign w:val="center"/>
          </w:tcPr>
          <w:p>
            <w:pPr>
              <w:spacing w:after="0"/>
            </w:pPr>
            <w:r>
              <w:rPr>
                <w:sz w:val="19"/>
                <w:szCs w:val="19"/>
              </w:rPr>
              <w:t xml:space="preserve">Related Documents</w:t>
            </w:r>
          </w:p>
        </w:tc>
        <w:tc>
          <w:tcPr>
            <w:tcW w:type="dxa" w:w="6360"/>
            <w:tcMar>
              <w:top w:type="dxa" w:w="80"/>
              <w:left w:type="dxa" w:w="100"/>
              <w:bottom w:type="dxa" w:w="80"/>
              <w:right w:type="dxa" w:w="100"/>
            </w:tcMar>
            <w:vAlign w:val="center"/>
          </w:tcPr>
          <w:p>
            <w:pPr>
              <w:spacing w:after="0"/>
            </w:pPr>
            <w:r>
              <w:rPr>
                <w:sz w:val="19"/>
                <w:szCs w:val="19"/>
              </w:rPr>
              <w:t xml:space="preserve">SubSense Problem Statement &amp; Proposed Solution (Sections 2 Step 3 &amp; Step 4, Sections 4 &amp; 5); SubSense Alerting System Technical Document v1.0</w:t>
            </w:r>
          </w:p>
        </w:tc>
      </w:tr>
    </w:tbl>
    <w:p>
      <w:pPr>
        <w:spacing w:before="300"/>
      </w:pPr>
    </w:p>
    <w:p>
      <w:pPr>
        <w:pStyle w:val="Heading1"/>
        <w:pBdr>
          <w:bottom w:val="single" w:color="1F3864" w:sz="6" w:space="4"/>
        </w:pBdr>
        <w:spacing w:after="200" w:before="400"/>
      </w:pPr>
      <w:r>
        <w:rPr>
          <w:b/>
          <w:bCs/>
          <w:color w:val="1F3864"/>
          <w:sz w:val="30"/>
          <w:szCs w:val="30"/>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1F3864" w:sz="6" w:space="4"/>
        </w:pBdr>
        <w:spacing w:after="200" w:before="400"/>
      </w:pPr>
      <w:r>
        <w:rPr>
          <w:b/>
          <w:bCs/>
          <w:color w:val="1F3864"/>
          <w:sz w:val="30"/>
          <w:szCs w:val="30"/>
        </w:rPr>
        <w:t xml:space="preserve">1. Introduction &amp; Purpose</w:t>
      </w:r>
    </w:p>
    <w:p>
      <w:pPr>
        <w:spacing w:after="160" w:line="276"/>
      </w:pPr>
      <w:r>
        <w:rPr>
          <w:sz w:val="21"/>
          <w:szCs w:val="21"/>
        </w:rPr>
        <w:t xml:space="preserve">This document specifies the technical design of the TinyML On-Device Inference subsystem within SubSense, the AI-enabled wireless surface mesh platform for real-time subsidence monitoring in underground coal mines. It details the engineering design behind “Step 3 — Gateway, Edge Buffering &amp; On-Device Intelligence” and the uniqueness feature “TinyML on-device inference” described in the SubSense Problem Statement &amp; Proposed Solution.</w:t>
      </w:r>
    </w:p>
    <w:p>
      <w:pPr>
        <w:spacing w:after="160" w:line="276"/>
      </w:pPr>
      <w:r>
        <w:rPr>
          <w:sz w:val="21"/>
          <w:szCs w:val="21"/>
        </w:rPr>
        <w:t xml:space="preserve">The TinyML subsystem allows anomaly detection and alerting to continue functioning even with zero internet connectivity by running compact, quantized machine-learning models directly on the gateway and, where feasible, on individual ESP32/Arduino-class sensor nodes. This removes the cloud round-trip from the critical safety path and enables the on-ground siren/beacon to fire within seconds of a local threshold breach, independent of mesh backhaul availability.</w:t>
      </w:r>
    </w:p>
    <w:p>
      <w:pPr>
        <w:spacing w:after="160" w:line="276"/>
      </w:pPr>
      <w:r>
        <w:rPr>
          <w:sz w:val="21"/>
          <w:szCs w:val="21"/>
        </w:rPr>
        <w:t xml:space="preserve">This document covers model selection and architecture, the training-to-deployment pipeline, quantization and hardware-specific optimization, on-device inference runtime design, resource budgets, versioning and OTA update strategy, evaluation methodology, and integration with the cloud-side AI/ML Intelligence Layer and the Alerting System.</w:t>
      </w:r>
    </w:p>
    <w:p>
      <w:pPr>
        <w:pStyle w:val="Heading2"/>
        <w:spacing w:after="150" w:before="300"/>
      </w:pPr>
      <w:r>
        <w:rPr>
          <w:b/>
          <w:bCs/>
          <w:color w:val="2E75B6"/>
          <w:sz w:val="25"/>
          <w:szCs w:val="25"/>
        </w:rPr>
        <w:t xml:space="preserve">1.1 Objectives</w:t>
      </w:r>
    </w:p>
    <w:p>
      <w:pPr>
        <w:pStyle w:val="ListParagraph"/>
        <w:numPr>
          <w:ilvl w:val="0"/>
          <w:numId w:val="2"/>
        </w:numPr>
        <w:spacing w:after="80"/>
      </w:pPr>
      <w:r>
        <w:rPr>
          <w:sz w:val="21"/>
          <w:szCs w:val="21"/>
        </w:rPr>
        <w:t xml:space="preserve">Run anomaly-detection inference locally on the gateway (mandatory) and on high-risk sensor nodes (where resource budget allows), with no dependency on cloud connectivity for basic detection.</w:t>
      </w:r>
    </w:p>
    <w:p>
      <w:pPr>
        <w:pStyle w:val="ListParagraph"/>
        <w:numPr>
          <w:ilvl w:val="0"/>
          <w:numId w:val="2"/>
        </w:numPr>
        <w:spacing w:after="80"/>
      </w:pPr>
      <w:r>
        <w:rPr>
          <w:sz w:val="21"/>
          <w:szCs w:val="21"/>
        </w:rPr>
        <w:t xml:space="preserve">Keep per-inference latency low enough to support the platform's edge-path siren trigger target of ≤ 5 seconds from local threshold breach.</w:t>
      </w:r>
    </w:p>
    <w:p>
      <w:pPr>
        <w:pStyle w:val="ListParagraph"/>
        <w:numPr>
          <w:ilvl w:val="0"/>
          <w:numId w:val="2"/>
        </w:numPr>
        <w:spacing w:after="80"/>
      </w:pPr>
      <w:r>
        <w:rPr>
          <w:sz w:val="21"/>
          <w:szCs w:val="21"/>
        </w:rPr>
        <w:t xml:space="preserve">Fit within the strict memory, compute, and power budget of ESP32/Arduino-class microcontrollers, preserving multi-month to multi-year battery/solar operating life.</w:t>
      </w:r>
    </w:p>
    <w:p>
      <w:pPr>
        <w:pStyle w:val="ListParagraph"/>
        <w:numPr>
          <w:ilvl w:val="0"/>
          <w:numId w:val="2"/>
        </w:numPr>
        <w:spacing w:after="80"/>
      </w:pPr>
      <w:r>
        <w:rPr>
          <w:sz w:val="21"/>
          <w:szCs w:val="21"/>
        </w:rPr>
        <w:t xml:space="preserve">Maintain detection quality close to the full cloud-side models (Isolation Forest / Autoencoder, GNN spatial correlation) despite aggressive compression.</w:t>
      </w:r>
    </w:p>
    <w:p>
      <w:pPr>
        <w:pStyle w:val="ListParagraph"/>
        <w:numPr>
          <w:ilvl w:val="0"/>
          <w:numId w:val="2"/>
        </w:numPr>
        <w:spacing w:after="80"/>
      </w:pPr>
      <w:r>
        <w:rPr>
          <w:sz w:val="21"/>
          <w:szCs w:val="21"/>
        </w:rPr>
        <w:t xml:space="preserve">Support safe, versioned over-the-air (OTA) model updates pushed from the cloud once connectivity is restored, without bricking deployed nodes.</w:t>
      </w:r>
    </w:p>
    <w:p>
      <w:pPr>
        <w:pStyle w:val="ListParagraph"/>
        <w:numPr>
          <w:ilvl w:val="0"/>
          <w:numId w:val="2"/>
        </w:numPr>
        <w:spacing w:after="80"/>
      </w:pPr>
      <w:r>
        <w:rPr>
          <w:sz w:val="21"/>
          <w:szCs w:val="21"/>
        </w:rPr>
        <w:t xml:space="preserve">Provide the same explainability signal (contributing sensors, confidence score) at the edge as the cloud path, so edge-triggered alerts remain auditable.</w:t>
      </w:r>
    </w:p>
    <w:p>
      <w:pPr>
        <w:pStyle w:val="Heading2"/>
        <w:spacing w:after="150" w:before="300"/>
      </w:pPr>
      <w:r>
        <w:rPr>
          <w:b/>
          <w:bCs/>
          <w:color w:val="2E75B6"/>
          <w:sz w:val="25"/>
          <w:szCs w:val="25"/>
        </w:rPr>
        <w:t xml:space="preserve">1.2 Scope</w:t>
      </w:r>
    </w:p>
    <w:p>
      <w:pPr>
        <w:spacing w:after="160" w:line="276"/>
      </w:pPr>
      <w:r>
        <w:rPr>
          <w:sz w:val="21"/>
          <w:szCs w:val="21"/>
        </w:rPr>
        <w:t xml:space="preserve">In scope: on-device model architecture and selection, training and compression pipeline (quantization, pruning, distillation), embedded inference runtime, resource budgeting and profiling on target hardware, model versioning/OTA distribution, edge-to-cloud reconciliation of detections, and evaluation methodology specific to the edge models.</w:t>
      </w:r>
    </w:p>
    <w:p>
      <w:pPr>
        <w:spacing w:after="160" w:line="276"/>
      </w:pPr>
      <w:r>
        <w:rPr>
          <w:sz w:val="21"/>
          <w:szCs w:val="21"/>
        </w:rPr>
        <w:t xml:space="preserve">Out of scope (covered elsewhere): the full cloud-side GNN spatial-correlation and LSTM progression-forecasting models (Step 4 / AI/ML Intelligence Layer document), the mesh routing protocol, and the downstream Alerting System dispatch logic (covered in the SubSense Alerting System Technical Document).</w:t>
      </w:r>
    </w:p>
    <w:p>
      <w:pPr>
        <w:pStyle w:val="Heading1"/>
        <w:pBdr>
          <w:bottom w:val="single" w:color="1F3864" w:sz="6" w:space="4"/>
        </w:pBdr>
        <w:spacing w:after="200" w:before="400"/>
      </w:pPr>
      <w:r>
        <w:rPr>
          <w:b/>
          <w:bCs/>
          <w:color w:val="1F3864"/>
          <w:sz w:val="30"/>
          <w:szCs w:val="30"/>
        </w:rPr>
        <w:t xml:space="preserve">2. System Context</w:t>
      </w:r>
    </w:p>
    <w:p>
      <w:pPr>
        <w:spacing w:after="160" w:line="276"/>
      </w:pPr>
      <w:r>
        <w:rPr>
          <w:sz w:val="21"/>
          <w:szCs w:val="21"/>
        </w:rPr>
        <w:t xml:space="preserve">The TinyML subsystem sits at the boundary between the sensing/mesh layer and the cloud AI/ML Intelligence Layer, providing a lightweight, always-available first line of anomaly detection.</w:t>
      </w:r>
    </w:p>
    <w:p>
      <w:pPr>
        <w:pBdr>
          <w:top w:val="single" w:color="BFBFBF" w:sz="4" w:space="4"/>
          <w:bottom w:val="single" w:color="BFBFBF" w:sz="4" w:space="4"/>
          <w:left w:val="single" w:color="BFBFBF" w:sz="4" w:space="4"/>
          <w:right w:val="single" w:color="BFBFBF" w:sz="4" w:space="4"/>
        </w:pBdr>
        <w:shd w:fill="F2F2F2" w:val="clear"/>
        <w:spacing w:after="200" w:before="100"/>
      </w:pPr>
      <w:r>
        <w:rPr>
          <w:rFonts w:ascii="Consolas" w:cs="Consolas" w:eastAsia="Consolas" w:hAnsi="Consolas"/>
          <w:color w:val="333333"/>
          <w:sz w:val="18"/>
          <w:szCs w:val="18"/>
        </w:rPr>
        <w:t xml:space="preserve">Sensor Node (tilt, vibration, displacement, crack)</w:t>
      </w:r>
      <w:r>
        <w:br/>
        <w:t xml:space="preserve"/>
      </w:r>
      <w:r>
        <w:rPr>
          <w:rFonts w:ascii="Consolas" w:cs="Consolas" w:eastAsia="Consolas" w:hAnsi="Consolas"/>
          <w:color w:val="333333"/>
          <w:sz w:val="18"/>
          <w:szCs w:val="18"/>
        </w:rPr>
        <w:t xml:space="preserve">     |</w:t>
      </w:r>
      <w:r>
        <w:br/>
        <w:t xml:space="preserve"/>
      </w:r>
      <w:r>
        <w:rPr>
          <w:rFonts w:ascii="Consolas" w:cs="Consolas" w:eastAsia="Consolas" w:hAnsi="Consolas"/>
          <w:color w:val="333333"/>
          <w:sz w:val="18"/>
          <w:szCs w:val="18"/>
        </w:rPr>
        <w:t xml:space="preserve">     |-- [Node-local TinyML, optional, high-risk nodes only] --&gt; local siren trigger</w:t>
      </w:r>
      <w:r>
        <w:br/>
        <w:t xml:space="preserve"/>
      </w:r>
      <w:r>
        <w:rPr>
          <w:rFonts w:ascii="Consolas" w:cs="Consolas" w:eastAsia="Consolas" w:hAnsi="Consolas"/>
          <w:color w:val="333333"/>
          <w:sz w:val="18"/>
          <w:szCs w:val="18"/>
        </w:rPr>
        <w:t xml:space="preserve">     |</w:t>
      </w:r>
      <w:r>
        <w:br/>
        <w:t xml:space="preserve"/>
      </w:r>
      <w:r>
        <w:rPr>
          <w:rFonts w:ascii="Consolas" w:cs="Consolas" w:eastAsia="Consolas" w:hAnsi="Consolas"/>
          <w:color w:val="333333"/>
          <w:sz w:val="18"/>
          <w:szCs w:val="18"/>
        </w:rPr>
        <w:t xml:space="preserve">     v</w:t>
      </w:r>
      <w:r>
        <w:br/>
        <w:t xml:space="preserve"/>
      </w:r>
      <w:r>
        <w:rPr>
          <w:rFonts w:ascii="Consolas" w:cs="Consolas" w:eastAsia="Consolas" w:hAnsi="Consolas"/>
          <w:color w:val="333333"/>
          <w:sz w:val="18"/>
          <w:szCs w:val="18"/>
        </w:rPr>
        <w:t xml:space="preserve">LoRa/Zigbee Mesh</w:t>
      </w:r>
      <w:r>
        <w:br/>
        <w:t xml:space="preserve"/>
      </w:r>
      <w:r>
        <w:rPr>
          <w:rFonts w:ascii="Consolas" w:cs="Consolas" w:eastAsia="Consolas" w:hAnsi="Consolas"/>
          <w:color w:val="333333"/>
          <w:sz w:val="18"/>
          <w:szCs w:val="18"/>
        </w:rPr>
        <w:t xml:space="preserve">     v</w:t>
      </w:r>
      <w:r>
        <w:br/>
        <w:t xml:space="preserve"/>
      </w:r>
      <w:r>
        <w:rPr>
          <w:rFonts w:ascii="Consolas" w:cs="Consolas" w:eastAsia="Consolas" w:hAnsi="Consolas"/>
          <w:color w:val="333333"/>
          <w:sz w:val="18"/>
          <w:szCs w:val="18"/>
        </w:rPr>
        <w:t xml:space="preserve">Gateway</w:t>
      </w:r>
      <w:r>
        <w:br/>
        <w:t xml:space="preserve"/>
      </w:r>
      <w:r>
        <w:rPr>
          <w:rFonts w:ascii="Consolas" w:cs="Consolas" w:eastAsia="Consolas" w:hAnsi="Consolas"/>
          <w:color w:val="333333"/>
          <w:sz w:val="18"/>
          <w:szCs w:val="18"/>
        </w:rPr>
        <w:t xml:space="preserve">     |-- Edge Buffer (offline storage)</w:t>
      </w:r>
      <w:r>
        <w:br/>
        <w:t xml:space="preserve"/>
      </w:r>
      <w:r>
        <w:rPr>
          <w:rFonts w:ascii="Consolas" w:cs="Consolas" w:eastAsia="Consolas" w:hAnsi="Consolas"/>
          <w:color w:val="333333"/>
          <w:sz w:val="18"/>
          <w:szCs w:val="18"/>
        </w:rPr>
        <w:t xml:space="preserve">     |-- [Gateway TinyML Inference Engine]  &lt;-- mandatory, always runs</w:t>
      </w:r>
      <w:r>
        <w:br/>
        <w:t xml:space="preserve"/>
      </w:r>
      <w:r>
        <w:rPr>
          <w:rFonts w:ascii="Consolas" w:cs="Consolas" w:eastAsia="Consolas" w:hAnsi="Consolas"/>
          <w:color w:val="333333"/>
          <w:sz w:val="18"/>
          <w:szCs w:val="18"/>
        </w:rPr>
        <w:t xml:space="preserve">     |        |</w:t>
      </w:r>
      <w:r>
        <w:br/>
        <w:t xml:space="preserve"/>
      </w:r>
      <w:r>
        <w:rPr>
          <w:rFonts w:ascii="Consolas" w:cs="Consolas" w:eastAsia="Consolas" w:hAnsi="Consolas"/>
          <w:color w:val="333333"/>
          <w:sz w:val="18"/>
          <w:szCs w:val="18"/>
        </w:rPr>
        <w:t xml:space="preserve">     |        |-- Local anomaly flag --&gt; immediate siren/beacon trigger</w:t>
      </w:r>
      <w:r>
        <w:br/>
        <w:t xml:space="preserve"/>
      </w:r>
      <w:r>
        <w:rPr>
          <w:rFonts w:ascii="Consolas" w:cs="Consolas" w:eastAsia="Consolas" w:hAnsi="Consolas"/>
          <w:color w:val="333333"/>
          <w:sz w:val="18"/>
          <w:szCs w:val="18"/>
        </w:rPr>
        <w:t xml:space="preserve">     |        |                          (edge path, no cloud round-trip)</w:t>
      </w:r>
      <w:r>
        <w:br/>
        <w:t xml:space="preserve"/>
      </w:r>
      <w:r>
        <w:rPr>
          <w:rFonts w:ascii="Consolas" w:cs="Consolas" w:eastAsia="Consolas" w:hAnsi="Consolas"/>
          <w:color w:val="333333"/>
          <w:sz w:val="18"/>
          <w:szCs w:val="18"/>
        </w:rPr>
        <w:t xml:space="preserve">     |        |-- Structured detection event --&gt; queued for cloud sync</w:t>
      </w:r>
      <w:r>
        <w:br/>
        <w:t xml:space="preserve"/>
      </w:r>
      <w:r>
        <w:rPr>
          <w:rFonts w:ascii="Consolas" w:cs="Consolas" w:eastAsia="Consolas" w:hAnsi="Consolas"/>
          <w:color w:val="333333"/>
          <w:sz w:val="18"/>
          <w:szCs w:val="18"/>
        </w:rPr>
        <w:t xml:space="preserve">     v                                            when connectivity resumes</w:t>
      </w:r>
      <w:r>
        <w:br/>
        <w:t xml:space="preserve"/>
      </w:r>
      <w:r>
        <w:rPr>
          <w:rFonts w:ascii="Consolas" w:cs="Consolas" w:eastAsia="Consolas" w:hAnsi="Consolas"/>
          <w:color w:val="333333"/>
          <w:sz w:val="18"/>
          <w:szCs w:val="18"/>
        </w:rPr>
        <w:t xml:space="preserve">Wi-Fi/4G Backhaul (when available)</w:t>
      </w:r>
      <w:r>
        <w:br/>
        <w:t xml:space="preserve"/>
      </w:r>
      <w:r>
        <w:rPr>
          <w:rFonts w:ascii="Consolas" w:cs="Consolas" w:eastAsia="Consolas" w:hAnsi="Consolas"/>
          <w:color w:val="333333"/>
          <w:sz w:val="18"/>
          <w:szCs w:val="18"/>
        </w:rPr>
        <w:t xml:space="preserve">     v</w:t>
      </w:r>
      <w:r>
        <w:br/>
        <w:t xml:space="preserve"/>
      </w:r>
      <w:r>
        <w:rPr>
          <w:rFonts w:ascii="Consolas" w:cs="Consolas" w:eastAsia="Consolas" w:hAnsi="Consolas"/>
          <w:color w:val="333333"/>
          <w:sz w:val="18"/>
          <w:szCs w:val="18"/>
        </w:rPr>
        <w:t xml:space="preserve">Cloud AI/ML Intelligence Layer (full models: Isolation Forest/Autoencoder,</w:t>
      </w:r>
      <w:r>
        <w:br/>
        <w:t xml:space="preserve"/>
      </w:r>
      <w:r>
        <w:rPr>
          <w:rFonts w:ascii="Consolas" w:cs="Consolas" w:eastAsia="Consolas" w:hAnsi="Consolas"/>
          <w:color w:val="333333"/>
          <w:sz w:val="18"/>
          <w:szCs w:val="18"/>
        </w:rPr>
        <w:t xml:space="preserve">     GNN spatial correlation, LSTM forecasting, Kriging interpolation)</w:t>
      </w:r>
      <w:r>
        <w:br/>
        <w:t xml:space="preserve"/>
      </w:r>
      <w:r>
        <w:rPr>
          <w:rFonts w:ascii="Consolas" w:cs="Consolas" w:eastAsia="Consolas" w:hAnsi="Consolas"/>
          <w:color w:val="333333"/>
          <w:sz w:val="18"/>
          <w:szCs w:val="18"/>
        </w:rPr>
        <w:t xml:space="preserve">     v</w:t>
      </w:r>
      <w:r>
        <w:br/>
        <w:t xml:space="preserve"/>
      </w:r>
      <w:r>
        <w:rPr>
          <w:rFonts w:ascii="Consolas" w:cs="Consolas" w:eastAsia="Consolas" w:hAnsi="Consolas"/>
          <w:color w:val="333333"/>
          <w:sz w:val="18"/>
          <w:szCs w:val="18"/>
        </w:rPr>
        <w:t xml:space="preserve">Alerting System (cloud path) / OTA Model Update distribution back to Gateway</w:t>
      </w:r>
    </w:p>
    <w:p>
      <w:pPr>
        <w:spacing w:after="160" w:line="276"/>
      </w:pPr>
      <w:r>
        <w:rPr>
          <w:sz w:val="21"/>
          <w:szCs w:val="21"/>
        </w:rPr>
        <w:t xml:space="preserve">Two deployment tiers are defined:</w:t>
      </w:r>
    </w:p>
    <w:p>
      <w:pPr>
        <w:pStyle w:val="ListParagraph"/>
        <w:numPr>
          <w:ilvl w:val="0"/>
          <w:numId w:val="3"/>
        </w:numPr>
        <w:spacing w:after="80"/>
      </w:pPr>
      <w:r>
        <w:rPr>
          <w:sz w:val="21"/>
          <w:szCs w:val="21"/>
        </w:rPr>
        <w:t xml:space="preserve">Gateway-tier TinyML (mandatory): runs on every gateway; has a larger resource budget (typically a more capable MCU or single-board computer) and handles anomaly detection across all nodes reporting to it.</w:t>
      </w:r>
    </w:p>
    <w:p>
      <w:pPr>
        <w:pStyle w:val="ListParagraph"/>
        <w:numPr>
          <w:ilvl w:val="0"/>
          <w:numId w:val="3"/>
        </w:numPr>
        <w:spacing w:after="80"/>
      </w:pPr>
      <w:r>
        <w:rPr>
          <w:sz w:val="21"/>
          <w:szCs w:val="21"/>
        </w:rPr>
        <w:t xml:space="preserve">Node-tier TinyML (optional, selective): a further-compressed model deployed only to nodes in designated high-risk zones, enabling the local siren to fire without waiting even for a mesh hop to the gateway.</w:t>
      </w:r>
    </w:p>
    <w:p>
      <w:pPr>
        <w:pStyle w:val="Heading1"/>
        <w:pBdr>
          <w:bottom w:val="single" w:color="1F3864" w:sz="6" w:space="4"/>
        </w:pBdr>
        <w:spacing w:after="200" w:before="400"/>
      </w:pPr>
      <w:r>
        <w:rPr>
          <w:b/>
          <w:bCs/>
          <w:color w:val="1F3864"/>
          <w:sz w:val="30"/>
          <w:szCs w:val="30"/>
        </w:rPr>
        <w:t xml:space="preserve">3. Model Architecture &amp; Selection</w:t>
      </w:r>
    </w:p>
    <w:p>
      <w:pPr>
        <w:pStyle w:val="Heading2"/>
        <w:spacing w:after="150" w:before="300"/>
      </w:pPr>
      <w:r>
        <w:rPr>
          <w:b/>
          <w:bCs/>
          <w:color w:val="2E75B6"/>
          <w:sz w:val="25"/>
          <w:szCs w:val="25"/>
        </w:rPr>
        <w:t xml:space="preserve">3.1 Design Constraints</w:t>
      </w:r>
    </w:p>
    <w:p>
      <w:pPr>
        <w:spacing w:after="160" w:line="276"/>
      </w:pPr>
      <w:r>
        <w:rPr>
          <w:sz w:val="21"/>
          <w:szCs w:val="21"/>
        </w:rPr>
        <w:t xml:space="preserve">Model architecture choices are driven primarily by the hardware envelope of ESP32/Arduino-class devices rather than by raw accuracy, since a model that cannot fit or run in real time is not deployable.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360"/>
      </w:tblGrid>
      <w:tr>
        <w:trPr>
          <w:tblHeader/>
        </w:trPr>
        <w:tc>
          <w:tcPr>
            <w:tcW w:type="dxa" w:w="3200"/>
            <w:shd w:fill="1F3864" w:val="clear"/>
            <w:tcMar>
              <w:top w:type="dxa" w:w="80"/>
              <w:left w:type="dxa" w:w="100"/>
              <w:bottom w:type="dxa" w:w="80"/>
              <w:right w:type="dxa" w:w="100"/>
            </w:tcMar>
            <w:vAlign w:val="center"/>
          </w:tcPr>
          <w:p>
            <w:pPr>
              <w:spacing w:after="0"/>
            </w:pPr>
            <w:r>
              <w:rPr>
                <w:b/>
                <w:bCs/>
                <w:color w:val="FFFFFF"/>
                <w:sz w:val="19"/>
                <w:szCs w:val="19"/>
              </w:rPr>
              <w:t xml:space="preserve">Constraint</w:t>
            </w:r>
          </w:p>
        </w:tc>
        <w:tc>
          <w:tcPr>
            <w:tcW w:type="dxa" w:w="2800"/>
            <w:shd w:fill="1F3864" w:val="clear"/>
            <w:tcMar>
              <w:top w:type="dxa" w:w="80"/>
              <w:left w:type="dxa" w:w="100"/>
              <w:bottom w:type="dxa" w:w="80"/>
              <w:right w:type="dxa" w:w="100"/>
            </w:tcMar>
            <w:vAlign w:val="center"/>
          </w:tcPr>
          <w:p>
            <w:pPr>
              <w:spacing w:after="0"/>
            </w:pPr>
            <w:r>
              <w:rPr>
                <w:b/>
                <w:bCs/>
                <w:color w:val="FFFFFF"/>
                <w:sz w:val="19"/>
                <w:szCs w:val="19"/>
              </w:rPr>
              <w:t xml:space="preserve">Gateway Tier (typical)</w:t>
            </w:r>
          </w:p>
        </w:tc>
        <w:tc>
          <w:tcPr>
            <w:tcW w:type="dxa" w:w="3360"/>
            <w:shd w:fill="1F3864" w:val="clear"/>
            <w:tcMar>
              <w:top w:type="dxa" w:w="80"/>
              <w:left w:type="dxa" w:w="100"/>
              <w:bottom w:type="dxa" w:w="80"/>
              <w:right w:type="dxa" w:w="100"/>
            </w:tcMar>
            <w:vAlign w:val="center"/>
          </w:tcPr>
          <w:p>
            <w:pPr>
              <w:spacing w:after="0"/>
            </w:pPr>
            <w:r>
              <w:rPr>
                <w:b/>
                <w:bCs/>
                <w:color w:val="FFFFFF"/>
                <w:sz w:val="19"/>
                <w:szCs w:val="19"/>
              </w:rPr>
              <w:t xml:space="preserve">Node Tier (typical)</w:t>
            </w:r>
          </w:p>
        </w:tc>
      </w:tr>
      <w:tr>
        <w:tc>
          <w:tcPr>
            <w:tcW w:type="dxa" w:w="3200"/>
            <w:tcMar>
              <w:top w:type="dxa" w:w="80"/>
              <w:left w:type="dxa" w:w="100"/>
              <w:bottom w:type="dxa" w:w="80"/>
              <w:right w:type="dxa" w:w="100"/>
            </w:tcMar>
            <w:vAlign w:val="center"/>
          </w:tcPr>
          <w:p>
            <w:pPr>
              <w:spacing w:after="0"/>
            </w:pPr>
            <w:r>
              <w:rPr>
                <w:sz w:val="19"/>
                <w:szCs w:val="19"/>
              </w:rPr>
              <w:t xml:space="preserve">RAM budget for model + runtime</w:t>
            </w:r>
          </w:p>
        </w:tc>
        <w:tc>
          <w:tcPr>
            <w:tcW w:type="dxa" w:w="2800"/>
            <w:tcMar>
              <w:top w:type="dxa" w:w="80"/>
              <w:left w:type="dxa" w:w="100"/>
              <w:bottom w:type="dxa" w:w="80"/>
              <w:right w:type="dxa" w:w="100"/>
            </w:tcMar>
            <w:vAlign w:val="center"/>
          </w:tcPr>
          <w:p>
            <w:pPr>
              <w:spacing w:after="0"/>
            </w:pPr>
            <w:r>
              <w:rPr>
                <w:sz w:val="19"/>
                <w:szCs w:val="19"/>
              </w:rPr>
              <w:t xml:space="preserve">≤ 512 KB</w:t>
            </w:r>
          </w:p>
        </w:tc>
        <w:tc>
          <w:tcPr>
            <w:tcW w:type="dxa" w:w="3360"/>
            <w:tcMar>
              <w:top w:type="dxa" w:w="80"/>
              <w:left w:type="dxa" w:w="100"/>
              <w:bottom w:type="dxa" w:w="80"/>
              <w:right w:type="dxa" w:w="100"/>
            </w:tcMar>
            <w:vAlign w:val="center"/>
          </w:tcPr>
          <w:p>
            <w:pPr>
              <w:spacing w:after="0"/>
            </w:pPr>
            <w:r>
              <w:rPr>
                <w:sz w:val="19"/>
                <w:szCs w:val="19"/>
              </w:rPr>
              <w:t xml:space="preserve">≤ 80 KB</w:t>
            </w:r>
          </w:p>
        </w:tc>
      </w:tr>
      <w:tr>
        <w:tc>
          <w:tcPr>
            <w:tcW w:type="dxa" w:w="3200"/>
            <w:shd w:fill="F5F8FC" w:val="clear"/>
            <w:tcMar>
              <w:top w:type="dxa" w:w="80"/>
              <w:left w:type="dxa" w:w="100"/>
              <w:bottom w:type="dxa" w:w="80"/>
              <w:right w:type="dxa" w:w="100"/>
            </w:tcMar>
            <w:vAlign w:val="center"/>
          </w:tcPr>
          <w:p>
            <w:pPr>
              <w:spacing w:after="0"/>
            </w:pPr>
            <w:r>
              <w:rPr>
                <w:sz w:val="19"/>
                <w:szCs w:val="19"/>
              </w:rPr>
              <w:t xml:space="preserve">Flash/storage budget for model weights</w:t>
            </w:r>
          </w:p>
        </w:tc>
        <w:tc>
          <w:tcPr>
            <w:tcW w:type="dxa" w:w="2800"/>
            <w:shd w:fill="F5F8FC" w:val="clear"/>
            <w:tcMar>
              <w:top w:type="dxa" w:w="80"/>
              <w:left w:type="dxa" w:w="100"/>
              <w:bottom w:type="dxa" w:w="80"/>
              <w:right w:type="dxa" w:w="100"/>
            </w:tcMar>
            <w:vAlign w:val="center"/>
          </w:tcPr>
          <w:p>
            <w:pPr>
              <w:spacing w:after="0"/>
            </w:pPr>
            <w:r>
              <w:rPr>
                <w:sz w:val="19"/>
                <w:szCs w:val="19"/>
              </w:rPr>
              <w:t xml:space="preserve">≤ 1 MB</w:t>
            </w:r>
          </w:p>
        </w:tc>
        <w:tc>
          <w:tcPr>
            <w:tcW w:type="dxa" w:w="3360"/>
            <w:shd w:fill="F5F8FC" w:val="clear"/>
            <w:tcMar>
              <w:top w:type="dxa" w:w="80"/>
              <w:left w:type="dxa" w:w="100"/>
              <w:bottom w:type="dxa" w:w="80"/>
              <w:right w:type="dxa" w:w="100"/>
            </w:tcMar>
            <w:vAlign w:val="center"/>
          </w:tcPr>
          <w:p>
            <w:pPr>
              <w:spacing w:after="0"/>
            </w:pPr>
            <w:r>
              <w:rPr>
                <w:sz w:val="19"/>
                <w:szCs w:val="19"/>
              </w:rPr>
              <w:t xml:space="preserve">≤ 200 KB</w:t>
            </w:r>
          </w:p>
        </w:tc>
      </w:tr>
      <w:tr>
        <w:tc>
          <w:tcPr>
            <w:tcW w:type="dxa" w:w="3200"/>
            <w:tcMar>
              <w:top w:type="dxa" w:w="80"/>
              <w:left w:type="dxa" w:w="100"/>
              <w:bottom w:type="dxa" w:w="80"/>
              <w:right w:type="dxa" w:w="100"/>
            </w:tcMar>
            <w:vAlign w:val="center"/>
          </w:tcPr>
          <w:p>
            <w:pPr>
              <w:spacing w:after="0"/>
            </w:pPr>
            <w:r>
              <w:rPr>
                <w:sz w:val="19"/>
                <w:szCs w:val="19"/>
              </w:rPr>
              <w:t xml:space="preserve">Target inference latency</w:t>
            </w:r>
          </w:p>
        </w:tc>
        <w:tc>
          <w:tcPr>
            <w:tcW w:type="dxa" w:w="2800"/>
            <w:tcMar>
              <w:top w:type="dxa" w:w="80"/>
              <w:left w:type="dxa" w:w="100"/>
              <w:bottom w:type="dxa" w:w="80"/>
              <w:right w:type="dxa" w:w="100"/>
            </w:tcMar>
            <w:vAlign w:val="center"/>
          </w:tcPr>
          <w:p>
            <w:pPr>
              <w:spacing w:after="0"/>
            </w:pPr>
            <w:r>
              <w:rPr>
                <w:sz w:val="19"/>
                <w:szCs w:val="19"/>
              </w:rPr>
              <w:t xml:space="preserve">≤ 200 ms per window</w:t>
            </w:r>
          </w:p>
        </w:tc>
        <w:tc>
          <w:tcPr>
            <w:tcW w:type="dxa" w:w="3360"/>
            <w:tcMar>
              <w:top w:type="dxa" w:w="80"/>
              <w:left w:type="dxa" w:w="100"/>
              <w:bottom w:type="dxa" w:w="80"/>
              <w:right w:type="dxa" w:w="100"/>
            </w:tcMar>
            <w:vAlign w:val="center"/>
          </w:tcPr>
          <w:p>
            <w:pPr>
              <w:spacing w:after="0"/>
            </w:pPr>
            <w:r>
              <w:rPr>
                <w:sz w:val="19"/>
                <w:szCs w:val="19"/>
              </w:rPr>
              <w:t xml:space="preserve">≤ 500 ms per window</w:t>
            </w:r>
          </w:p>
        </w:tc>
      </w:tr>
      <w:tr>
        <w:tc>
          <w:tcPr>
            <w:tcW w:type="dxa" w:w="3200"/>
            <w:shd w:fill="F5F8FC" w:val="clear"/>
            <w:tcMar>
              <w:top w:type="dxa" w:w="80"/>
              <w:left w:type="dxa" w:w="100"/>
              <w:bottom w:type="dxa" w:w="80"/>
              <w:right w:type="dxa" w:w="100"/>
            </w:tcMar>
            <w:vAlign w:val="center"/>
          </w:tcPr>
          <w:p>
            <w:pPr>
              <w:spacing w:after="0"/>
            </w:pPr>
            <w:r>
              <w:rPr>
                <w:sz w:val="19"/>
                <w:szCs w:val="19"/>
              </w:rPr>
              <w:t xml:space="preserve">Power budget per inference</w:t>
            </w:r>
          </w:p>
        </w:tc>
        <w:tc>
          <w:tcPr>
            <w:tcW w:type="dxa" w:w="2800"/>
            <w:shd w:fill="F5F8FC" w:val="clear"/>
            <w:tcMar>
              <w:top w:type="dxa" w:w="80"/>
              <w:left w:type="dxa" w:w="100"/>
              <w:bottom w:type="dxa" w:w="80"/>
              <w:right w:type="dxa" w:w="100"/>
            </w:tcMar>
            <w:vAlign w:val="center"/>
          </w:tcPr>
          <w:p>
            <w:pPr>
              <w:spacing w:after="0"/>
            </w:pPr>
            <w:r>
              <w:rPr>
                <w:sz w:val="19"/>
                <w:szCs w:val="19"/>
              </w:rPr>
              <w:t xml:space="preserve">Low, mains/solar-buffered</w:t>
            </w:r>
          </w:p>
        </w:tc>
        <w:tc>
          <w:tcPr>
            <w:tcW w:type="dxa" w:w="3360"/>
            <w:shd w:fill="F5F8FC" w:val="clear"/>
            <w:tcMar>
              <w:top w:type="dxa" w:w="80"/>
              <w:left w:type="dxa" w:w="100"/>
              <w:bottom w:type="dxa" w:w="80"/>
              <w:right w:type="dxa" w:w="100"/>
            </w:tcMar>
            <w:vAlign w:val="center"/>
          </w:tcPr>
          <w:p>
            <w:pPr>
              <w:spacing w:after="0"/>
            </w:pPr>
            <w:r>
              <w:rPr>
                <w:sz w:val="19"/>
                <w:szCs w:val="19"/>
              </w:rPr>
              <w:t xml:space="preserve">Very low; must not materially affect multi-year battery life</w:t>
            </w:r>
          </w:p>
        </w:tc>
      </w:tr>
      <w:tr>
        <w:tc>
          <w:tcPr>
            <w:tcW w:type="dxa" w:w="3200"/>
            <w:tcMar>
              <w:top w:type="dxa" w:w="80"/>
              <w:left w:type="dxa" w:w="100"/>
              <w:bottom w:type="dxa" w:w="80"/>
              <w:right w:type="dxa" w:w="100"/>
            </w:tcMar>
            <w:vAlign w:val="center"/>
          </w:tcPr>
          <w:p>
            <w:pPr>
              <w:spacing w:after="0"/>
            </w:pPr>
            <w:r>
              <w:rPr>
                <w:sz w:val="19"/>
                <w:szCs w:val="19"/>
              </w:rPr>
              <w:t xml:space="preserve">Update mechanism</w:t>
            </w:r>
          </w:p>
        </w:tc>
        <w:tc>
          <w:tcPr>
            <w:tcW w:type="dxa" w:w="2800"/>
            <w:tcMar>
              <w:top w:type="dxa" w:w="80"/>
              <w:left w:type="dxa" w:w="100"/>
              <w:bottom w:type="dxa" w:w="80"/>
              <w:right w:type="dxa" w:w="100"/>
            </w:tcMar>
            <w:vAlign w:val="center"/>
          </w:tcPr>
          <w:p>
            <w:pPr>
              <w:spacing w:after="0"/>
            </w:pPr>
            <w:r>
              <w:rPr>
                <w:sz w:val="19"/>
                <w:szCs w:val="19"/>
              </w:rPr>
              <w:t xml:space="preserve">OTA over Wi-Fi/4G</w:t>
            </w:r>
          </w:p>
        </w:tc>
        <w:tc>
          <w:tcPr>
            <w:tcW w:type="dxa" w:w="3360"/>
            <w:tcMar>
              <w:top w:type="dxa" w:w="80"/>
              <w:left w:type="dxa" w:w="100"/>
              <w:bottom w:type="dxa" w:w="80"/>
              <w:right w:type="dxa" w:w="100"/>
            </w:tcMar>
            <w:vAlign w:val="center"/>
          </w:tcPr>
          <w:p>
            <w:pPr>
              <w:spacing w:after="0"/>
            </w:pPr>
            <w:r>
              <w:rPr>
                <w:sz w:val="19"/>
                <w:szCs w:val="19"/>
              </w:rPr>
              <w:t xml:space="preserve">OTA relayed over mesh from gateway</w:t>
            </w:r>
          </w:p>
        </w:tc>
      </w:tr>
    </w:tbl>
    <w:p>
      <w:pPr>
        <w:pStyle w:val="Heading2"/>
        <w:spacing w:after="150" w:before="300"/>
      </w:pPr>
      <w:r>
        <w:rPr>
          <w:b/>
          <w:bCs/>
          <w:color w:val="2E75B6"/>
          <w:sz w:val="25"/>
          <w:szCs w:val="25"/>
        </w:rPr>
        <w:t xml:space="preserve">3.2 Selected Model Types</w:t>
      </w:r>
    </w:p>
    <w:p>
      <w:pPr>
        <w:spacing w:after="160" w:line="276"/>
      </w:pPr>
      <w:r>
        <w:rPr>
          <w:sz w:val="21"/>
          <w:szCs w:val="21"/>
        </w:rPr>
        <w:t xml:space="preserve">The subsystem uses a tiered, purpose-fit modelling approach rather than a single model, mirroring the baseline cloud design (Isolation Forest / Autoencoder for anomaly detection) but re-implemented in compressed form for embedded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rPr>
          <w:tblHeader/>
        </w:trPr>
        <w:tc>
          <w:tcPr>
            <w:tcW w:type="dxa" w:w="2600"/>
            <w:shd w:fill="1F3864" w:val="clear"/>
            <w:tcMar>
              <w:top w:type="dxa" w:w="80"/>
              <w:left w:type="dxa" w:w="100"/>
              <w:bottom w:type="dxa" w:w="80"/>
              <w:right w:type="dxa" w:w="100"/>
            </w:tcMar>
            <w:vAlign w:val="center"/>
          </w:tcPr>
          <w:p>
            <w:pPr>
              <w:spacing w:after="0"/>
            </w:pPr>
            <w:r>
              <w:rPr>
                <w:b/>
                <w:bCs/>
                <w:color w:val="FFFFFF"/>
                <w:sz w:val="19"/>
                <w:szCs w:val="19"/>
              </w:rPr>
              <w:t xml:space="preserve">Model</w:t>
            </w:r>
          </w:p>
        </w:tc>
        <w:tc>
          <w:tcPr>
            <w:tcW w:type="dxa" w:w="3200"/>
            <w:shd w:fill="1F3864" w:val="clear"/>
            <w:tcMar>
              <w:top w:type="dxa" w:w="80"/>
              <w:left w:type="dxa" w:w="100"/>
              <w:bottom w:type="dxa" w:w="80"/>
              <w:right w:type="dxa" w:w="100"/>
            </w:tcMar>
            <w:vAlign w:val="center"/>
          </w:tcPr>
          <w:p>
            <w:pPr>
              <w:spacing w:after="0"/>
            </w:pPr>
            <w:r>
              <w:rPr>
                <w:b/>
                <w:bCs/>
                <w:color w:val="FFFFFF"/>
                <w:sz w:val="19"/>
                <w:szCs w:val="19"/>
              </w:rPr>
              <w:t xml:space="preserve">Where Deployed</w:t>
            </w:r>
          </w:p>
        </w:tc>
        <w:tc>
          <w:tcPr>
            <w:tcW w:type="dxa" w:w="3560"/>
            <w:shd w:fill="1F3864" w:val="clear"/>
            <w:tcMar>
              <w:top w:type="dxa" w:w="80"/>
              <w:left w:type="dxa" w:w="100"/>
              <w:bottom w:type="dxa" w:w="80"/>
              <w:right w:type="dxa" w:w="100"/>
            </w:tcMar>
            <w:vAlign w:val="center"/>
          </w:tcPr>
          <w:p>
            <w:pPr>
              <w:spacing w:after="0"/>
            </w:pPr>
            <w:r>
              <w:rPr>
                <w:b/>
                <w:bCs/>
                <w:color w:val="FFFFFF"/>
                <w:sz w:val="19"/>
                <w:szCs w:val="19"/>
              </w:rPr>
              <w:t xml:space="preserve">Purpose</w:t>
            </w:r>
          </w:p>
        </w:tc>
      </w:tr>
      <w:tr>
        <w:tc>
          <w:tcPr>
            <w:tcW w:type="dxa" w:w="2600"/>
            <w:tcMar>
              <w:top w:type="dxa" w:w="80"/>
              <w:left w:type="dxa" w:w="100"/>
              <w:bottom w:type="dxa" w:w="80"/>
              <w:right w:type="dxa" w:w="100"/>
            </w:tcMar>
            <w:vAlign w:val="center"/>
          </w:tcPr>
          <w:p>
            <w:pPr>
              <w:spacing w:after="0"/>
            </w:pPr>
            <w:r>
              <w:rPr>
                <w:sz w:val="19"/>
                <w:szCs w:val="19"/>
              </w:rPr>
              <w:t xml:space="preserve">Quantized Autoencoder (compact, 1–2 hidden layers)</w:t>
            </w:r>
          </w:p>
        </w:tc>
        <w:tc>
          <w:tcPr>
            <w:tcW w:type="dxa" w:w="3200"/>
            <w:tcMar>
              <w:top w:type="dxa" w:w="80"/>
              <w:left w:type="dxa" w:w="100"/>
              <w:bottom w:type="dxa" w:w="80"/>
              <w:right w:type="dxa" w:w="100"/>
            </w:tcMar>
            <w:vAlign w:val="center"/>
          </w:tcPr>
          <w:p>
            <w:pPr>
              <w:spacing w:after="0"/>
            </w:pPr>
            <w:r>
              <w:rPr>
                <w:sz w:val="19"/>
                <w:szCs w:val="19"/>
              </w:rPr>
              <w:t xml:space="preserve">Gateway tier</w:t>
            </w:r>
          </w:p>
        </w:tc>
        <w:tc>
          <w:tcPr>
            <w:tcW w:type="dxa" w:w="3560"/>
            <w:tcMar>
              <w:top w:type="dxa" w:w="80"/>
              <w:left w:type="dxa" w:w="100"/>
              <w:bottom w:type="dxa" w:w="80"/>
              <w:right w:type="dxa" w:w="100"/>
            </w:tcMar>
            <w:vAlign w:val="center"/>
          </w:tcPr>
          <w:p>
            <w:pPr>
              <w:spacing w:after="0"/>
            </w:pPr>
            <w:r>
              <w:rPr>
                <w:sz w:val="19"/>
                <w:szCs w:val="19"/>
              </w:rPr>
              <w:t xml:space="preserve">Reconstructs expected multi-sensor windows; high reconstruction error flags anomalous deformation patterns.</w:t>
            </w:r>
          </w:p>
        </w:tc>
      </w:tr>
      <w:tr>
        <w:tc>
          <w:tcPr>
            <w:tcW w:type="dxa" w:w="2600"/>
            <w:shd w:fill="F5F8FC" w:val="clear"/>
            <w:tcMar>
              <w:top w:type="dxa" w:w="80"/>
              <w:left w:type="dxa" w:w="100"/>
              <w:bottom w:type="dxa" w:w="80"/>
              <w:right w:type="dxa" w:w="100"/>
            </w:tcMar>
            <w:vAlign w:val="center"/>
          </w:tcPr>
          <w:p>
            <w:pPr>
              <w:spacing w:after="0"/>
            </w:pPr>
            <w:r>
              <w:rPr>
                <w:sz w:val="19"/>
                <w:szCs w:val="19"/>
              </w:rPr>
              <w:t xml:space="preserve">Distilled Isolation-Forest-equivalent (rule-compiled decision ensemble)</w:t>
            </w:r>
          </w:p>
        </w:tc>
        <w:tc>
          <w:tcPr>
            <w:tcW w:type="dxa" w:w="3200"/>
            <w:shd w:fill="F5F8FC" w:val="clear"/>
            <w:tcMar>
              <w:top w:type="dxa" w:w="80"/>
              <w:left w:type="dxa" w:w="100"/>
              <w:bottom w:type="dxa" w:w="80"/>
              <w:right w:type="dxa" w:w="100"/>
            </w:tcMar>
            <w:vAlign w:val="center"/>
          </w:tcPr>
          <w:p>
            <w:pPr>
              <w:spacing w:after="0"/>
            </w:pPr>
            <w:r>
              <w:rPr>
                <w:sz w:val="19"/>
                <w:szCs w:val="19"/>
              </w:rPr>
              <w:t xml:space="preserve">Gateway tier (fallback / ensemble partner)</w:t>
            </w:r>
          </w:p>
        </w:tc>
        <w:tc>
          <w:tcPr>
            <w:tcW w:type="dxa" w:w="3560"/>
            <w:shd w:fill="F5F8FC" w:val="clear"/>
            <w:tcMar>
              <w:top w:type="dxa" w:w="80"/>
              <w:left w:type="dxa" w:w="100"/>
              <w:bottom w:type="dxa" w:w="80"/>
              <w:right w:type="dxa" w:w="100"/>
            </w:tcMar>
            <w:vAlign w:val="center"/>
          </w:tcPr>
          <w:p>
            <w:pPr>
              <w:spacing w:after="0"/>
            </w:pPr>
            <w:r>
              <w:rPr>
                <w:sz w:val="19"/>
                <w:szCs w:val="19"/>
              </w:rPr>
              <w:t xml:space="preserve">Fast, low-memory anomaly scoring that complements the autoencoder and reduces false positives via ensembling.</w:t>
            </w:r>
          </w:p>
        </w:tc>
      </w:tr>
      <w:tr>
        <w:tc>
          <w:tcPr>
            <w:tcW w:type="dxa" w:w="2600"/>
            <w:tcMar>
              <w:top w:type="dxa" w:w="80"/>
              <w:left w:type="dxa" w:w="100"/>
              <w:bottom w:type="dxa" w:w="80"/>
              <w:right w:type="dxa" w:w="100"/>
            </w:tcMar>
            <w:vAlign w:val="center"/>
          </w:tcPr>
          <w:p>
            <w:pPr>
              <w:spacing w:after="0"/>
            </w:pPr>
            <w:r>
              <w:rPr>
                <w:sz w:val="19"/>
                <w:szCs w:val="19"/>
              </w:rPr>
              <w:t xml:space="preserve">Single-layer thresholded feature detector (e.g. tiny 1D-CNN or statistical feature model)</w:t>
            </w:r>
          </w:p>
        </w:tc>
        <w:tc>
          <w:tcPr>
            <w:tcW w:type="dxa" w:w="3200"/>
            <w:tcMar>
              <w:top w:type="dxa" w:w="80"/>
              <w:left w:type="dxa" w:w="100"/>
              <w:bottom w:type="dxa" w:w="80"/>
              <w:right w:type="dxa" w:w="100"/>
            </w:tcMar>
            <w:vAlign w:val="center"/>
          </w:tcPr>
          <w:p>
            <w:pPr>
              <w:spacing w:after="0"/>
            </w:pPr>
            <w:r>
              <w:rPr>
                <w:sz w:val="19"/>
                <w:szCs w:val="19"/>
              </w:rPr>
              <w:t xml:space="preserve">Node tier (high-risk nodes only)</w:t>
            </w:r>
          </w:p>
        </w:tc>
        <w:tc>
          <w:tcPr>
            <w:tcW w:type="dxa" w:w="3560"/>
            <w:tcMar>
              <w:top w:type="dxa" w:w="80"/>
              <w:left w:type="dxa" w:w="100"/>
              <w:bottom w:type="dxa" w:w="80"/>
              <w:right w:type="dxa" w:w="100"/>
            </w:tcMar>
            <w:vAlign w:val="center"/>
          </w:tcPr>
          <w:p>
            <w:pPr>
              <w:spacing w:after="0"/>
            </w:pPr>
            <w:r>
              <w:rPr>
                <w:sz w:val="19"/>
                <w:szCs w:val="19"/>
              </w:rPr>
              <w:t xml:space="preserve">Minimal-footprint local detector for immediate siren triggering; tuned for high recall on sudden-onset signatures rather than nuanced classification.</w:t>
            </w:r>
          </w:p>
        </w:tc>
      </w:tr>
    </w:tbl>
    <w:p>
      <w:pPr>
        <w:spacing w:after="160" w:line="276"/>
      </w:pPr>
      <w:r>
        <w:rPr>
          <w:sz w:val="21"/>
          <w:szCs w:val="21"/>
        </w:rPr>
        <w:t xml:space="preserve">Both gateway-tier models are trained centrally in the cloud using the same historical/synthetic multi-sensor dataset that trains the full cloud-side Isolation Forest/Autoencoder models, then compressed for embedded deployment (Section 5). This keeps edge and cloud detection philosophy consistent, so edge-triggered alerts and cloud-confirmed alerts rarely disagree in kind, only in confidence/precision.</w:t>
      </w:r>
    </w:p>
    <w:p>
      <w:pPr>
        <w:pStyle w:val="Heading2"/>
        <w:spacing w:after="150" w:before="300"/>
      </w:pPr>
      <w:r>
        <w:rPr>
          <w:b/>
          <w:bCs/>
          <w:color w:val="2E75B6"/>
          <w:sz w:val="25"/>
          <w:szCs w:val="25"/>
        </w:rPr>
        <w:t xml:space="preserve">3.3 Input Features</w:t>
      </w:r>
    </w:p>
    <w:p>
      <w:pPr>
        <w:spacing w:after="160" w:line="276"/>
      </w:pPr>
      <w:r>
        <w:rPr>
          <w:sz w:val="21"/>
          <w:szCs w:val="21"/>
        </w:rPr>
        <w:t xml:space="preserve">Edge models consume a fixed-size sliding window of recent sensor readings per node (or per gateway-aggregated node group), engineered to be cheap to compute on-device:</w:t>
      </w:r>
    </w:p>
    <w:p>
      <w:pPr>
        <w:pStyle w:val="ListParagraph"/>
        <w:numPr>
          <w:ilvl w:val="0"/>
          <w:numId w:val="2"/>
        </w:numPr>
        <w:spacing w:after="80"/>
      </w:pPr>
      <w:r>
        <w:rPr>
          <w:sz w:val="21"/>
          <w:szCs w:val="21"/>
        </w:rPr>
        <w:t xml:space="preserve">Tilt/inclination: current value, rate of change over the window, short-window variance.</w:t>
      </w:r>
    </w:p>
    <w:p>
      <w:pPr>
        <w:pStyle w:val="ListParagraph"/>
        <w:numPr>
          <w:ilvl w:val="0"/>
          <w:numId w:val="2"/>
        </w:numPr>
        <w:spacing w:after="80"/>
      </w:pPr>
      <w:r>
        <w:rPr>
          <w:sz w:val="21"/>
          <w:szCs w:val="21"/>
        </w:rPr>
        <w:t xml:space="preserve">Vibration: RMS amplitude, peak count above a baseline threshold within the window.</w:t>
      </w:r>
    </w:p>
    <w:p>
      <w:pPr>
        <w:pStyle w:val="ListParagraph"/>
        <w:numPr>
          <w:ilvl w:val="0"/>
          <w:numId w:val="2"/>
        </w:numPr>
        <w:spacing w:after="80"/>
      </w:pPr>
      <w:r>
        <w:rPr>
          <w:sz w:val="21"/>
          <w:szCs w:val="21"/>
        </w:rPr>
        <w:t xml:space="preserve">Displacement/stretch: delta from rolling baseline.</w:t>
      </w:r>
    </w:p>
    <w:p>
      <w:pPr>
        <w:pStyle w:val="ListParagraph"/>
        <w:numPr>
          <w:ilvl w:val="0"/>
          <w:numId w:val="2"/>
        </w:numPr>
        <w:spacing w:after="80"/>
      </w:pPr>
      <w:r>
        <w:rPr>
          <w:sz w:val="21"/>
          <w:szCs w:val="21"/>
        </w:rPr>
        <w:t xml:space="preserve">Crack sensor: binary/graded activation state and recent activation count.</w:t>
      </w:r>
    </w:p>
    <w:p>
      <w:pPr>
        <w:pStyle w:val="ListParagraph"/>
        <w:numPr>
          <w:ilvl w:val="0"/>
          <w:numId w:val="2"/>
        </w:numPr>
        <w:spacing w:after="80"/>
      </w:pPr>
      <w:r>
        <w:rPr>
          <w:sz w:val="21"/>
          <w:szCs w:val="21"/>
        </w:rPr>
        <w:t xml:space="preserve">Node health metadata (battery, signal strength) is not fed into the anomaly model itself but is checked separately to avoid misclassifying a failing sensor as a subsidence anomaly.</w:t>
      </w:r>
    </w:p>
    <w:p>
      <w:pPr>
        <w:pStyle w:val="Heading1"/>
        <w:pBdr>
          <w:bottom w:val="single" w:color="1F3864" w:sz="6" w:space="4"/>
        </w:pBdr>
        <w:spacing w:after="200" w:before="400"/>
      </w:pPr>
      <w:r>
        <w:rPr>
          <w:b/>
          <w:bCs/>
          <w:color w:val="1F3864"/>
          <w:sz w:val="30"/>
          <w:szCs w:val="30"/>
        </w:rPr>
        <w:t xml:space="preserve">4. Training &amp; Compression Pipeline</w:t>
      </w:r>
    </w:p>
    <w:p>
      <w:pPr>
        <w:spacing w:after="160" w:line="276"/>
      </w:pPr>
      <w:r>
        <w:rPr>
          <w:sz w:val="21"/>
          <w:szCs w:val="21"/>
        </w:rPr>
        <w:t xml:space="preserve">Edge models are never trained on-device. They are trained in the cloud using the full-precision dataset and pipeline, then compressed and validated before OTA distribution.</w:t>
      </w:r>
    </w:p>
    <w:p>
      <w:pPr>
        <w:pStyle w:val="ListParagraph"/>
        <w:numPr>
          <w:ilvl w:val="0"/>
          <w:numId w:val="3"/>
        </w:numPr>
        <w:spacing w:after="80"/>
      </w:pPr>
      <w:r>
        <w:rPr>
          <w:sz w:val="21"/>
          <w:szCs w:val="21"/>
        </w:rPr>
        <w:t xml:space="preserve">Data preparation: reuse the same labelled/unlabelled historical and synthetic multi-sensor time-series dataset used for the cloud-side Isolation Forest/Autoencoder models, windowed and feature-engineered identically to the on-device feature extraction (Section 3.3), so training-serving skew is minimized.</w:t>
      </w:r>
    </w:p>
    <w:p>
      <w:pPr>
        <w:pStyle w:val="ListParagraph"/>
        <w:numPr>
          <w:ilvl w:val="0"/>
          <w:numId w:val="3"/>
        </w:numPr>
        <w:spacing w:after="80"/>
      </w:pPr>
      <w:r>
        <w:rPr>
          <w:sz w:val="21"/>
          <w:szCs w:val="21"/>
        </w:rPr>
        <w:t xml:space="preserve">Baseline training: train a full-precision teacher model (the existing cloud Autoencoder/Isolation Forest) to convergence.</w:t>
      </w:r>
    </w:p>
    <w:p>
      <w:pPr>
        <w:pStyle w:val="ListParagraph"/>
        <w:numPr>
          <w:ilvl w:val="0"/>
          <w:numId w:val="3"/>
        </w:numPr>
        <w:spacing w:after="80"/>
      </w:pPr>
      <w:r>
        <w:rPr>
          <w:sz w:val="21"/>
          <w:szCs w:val="21"/>
        </w:rPr>
        <w:t xml:space="preserve">Architecture search / distillation: train a much smaller student network (or compile a shallow decision ensemble) constrained to the target parameter count for the intended tier (gateway vs node), using knowledge distillation from the teacher where applicable.</w:t>
      </w:r>
    </w:p>
    <w:p>
      <w:pPr>
        <w:pStyle w:val="ListParagraph"/>
        <w:numPr>
          <w:ilvl w:val="0"/>
          <w:numId w:val="3"/>
        </w:numPr>
        <w:spacing w:after="80"/>
      </w:pPr>
      <w:r>
        <w:rPr>
          <w:sz w:val="21"/>
          <w:szCs w:val="21"/>
        </w:rPr>
        <w:t xml:space="preserve">Quantization: convert the trained student model from 32-bit floating point to 8-bit integer (INT8) weights and activations using post-training quantization; apply quantization-aware training if INT8 post-training quantization degrades accuracy beyond an acceptable threshold.</w:t>
      </w:r>
    </w:p>
    <w:p>
      <w:pPr>
        <w:pStyle w:val="ListParagraph"/>
        <w:numPr>
          <w:ilvl w:val="0"/>
          <w:numId w:val="3"/>
        </w:numPr>
        <w:spacing w:after="80"/>
      </w:pPr>
      <w:r>
        <w:rPr>
          <w:sz w:val="21"/>
          <w:szCs w:val="21"/>
        </w:rPr>
        <w:t xml:space="preserve">Pruning: remove low-magnitude weights/connections from the student network to further reduce parameter count where the target runtime supports sparse or reduced-dimension execution.</w:t>
      </w:r>
    </w:p>
    <w:p>
      <w:pPr>
        <w:pStyle w:val="ListParagraph"/>
        <w:numPr>
          <w:ilvl w:val="0"/>
          <w:numId w:val="3"/>
        </w:numPr>
        <w:spacing w:after="80"/>
      </w:pPr>
      <w:r>
        <w:rPr>
          <w:sz w:val="21"/>
          <w:szCs w:val="21"/>
        </w:rPr>
        <w:t xml:space="preserve">Conversion to embedded runtime format: export the quantized model to a microcontroller-friendly format compatible with the on-device inference runtime (Section 6).</w:t>
      </w:r>
    </w:p>
    <w:p>
      <w:pPr>
        <w:pStyle w:val="ListParagraph"/>
        <w:numPr>
          <w:ilvl w:val="0"/>
          <w:numId w:val="3"/>
        </w:numPr>
        <w:spacing w:after="80"/>
      </w:pPr>
      <w:r>
        <w:rPr>
          <w:sz w:val="21"/>
          <w:szCs w:val="21"/>
        </w:rPr>
        <w:t xml:space="preserve">Validation on target hardware: flash the candidate model to representative gateway/node hardware and benchmark actual latency, memory footprint, and power draw before promoting it to a release candidate.</w:t>
      </w:r>
    </w:p>
    <w:p>
      <w:pPr>
        <w:pStyle w:val="Heading2"/>
        <w:spacing w:after="150" w:before="300"/>
      </w:pPr>
      <w:r>
        <w:rPr>
          <w:b/>
          <w:bCs/>
          <w:color w:val="2E75B6"/>
          <w:sz w:val="25"/>
          <w:szCs w:val="25"/>
        </w:rPr>
        <w:t xml:space="preserve">4.1 Accuracy-vs-Compression Tracking</w:t>
      </w:r>
    </w:p>
    <w:p>
      <w:pPr>
        <w:spacing w:after="160" w:line="276"/>
      </w:pPr>
      <w:r>
        <w:rPr>
          <w:sz w:val="21"/>
          <w:szCs w:val="21"/>
        </w:rPr>
        <w:t xml:space="preserve">Every compression step is tracked against a validation set so degradation is measured, not assumed. A candidate model is only released if it meets the minimum bar in Section 8 (Evaluation Methodology).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160"/>
        <w:gridCol w:w="3600"/>
      </w:tblGrid>
      <w:tr>
        <w:trPr>
          <w:tblHeader/>
        </w:trPr>
        <w:tc>
          <w:tcPr>
            <w:tcW w:type="dxa" w:w="2600"/>
            <w:shd w:fill="1F3864" w:val="clear"/>
            <w:tcMar>
              <w:top w:type="dxa" w:w="80"/>
              <w:left w:type="dxa" w:w="100"/>
              <w:bottom w:type="dxa" w:w="80"/>
              <w:right w:type="dxa" w:w="100"/>
            </w:tcMar>
            <w:vAlign w:val="center"/>
          </w:tcPr>
          <w:p>
            <w:pPr>
              <w:spacing w:after="0"/>
            </w:pPr>
            <w:r>
              <w:rPr>
                <w:b/>
                <w:bCs/>
                <w:color w:val="FFFFFF"/>
                <w:sz w:val="19"/>
                <w:szCs w:val="19"/>
              </w:rPr>
              <w:t xml:space="preserve">Stage</w:t>
            </w:r>
          </w:p>
        </w:tc>
        <w:tc>
          <w:tcPr>
            <w:tcW w:type="dxa" w:w="3160"/>
            <w:shd w:fill="1F3864" w:val="clear"/>
            <w:tcMar>
              <w:top w:type="dxa" w:w="80"/>
              <w:left w:type="dxa" w:w="100"/>
              <w:bottom w:type="dxa" w:w="80"/>
              <w:right w:type="dxa" w:w="100"/>
            </w:tcMar>
            <w:vAlign w:val="center"/>
          </w:tcPr>
          <w:p>
            <w:pPr>
              <w:spacing w:after="0"/>
            </w:pPr>
            <w:r>
              <w:rPr>
                <w:b/>
                <w:bCs/>
                <w:color w:val="FFFFFF"/>
                <w:sz w:val="19"/>
                <w:szCs w:val="19"/>
              </w:rPr>
              <w:t xml:space="preserve">Typical Footprint (illustrative)</w:t>
            </w:r>
          </w:p>
        </w:tc>
        <w:tc>
          <w:tcPr>
            <w:tcW w:type="dxa" w:w="3600"/>
            <w:shd w:fill="1F3864" w:val="clear"/>
            <w:tcMar>
              <w:top w:type="dxa" w:w="80"/>
              <w:left w:type="dxa" w:w="100"/>
              <w:bottom w:type="dxa" w:w="80"/>
              <w:right w:type="dxa" w:w="100"/>
            </w:tcMar>
            <w:vAlign w:val="center"/>
          </w:tcPr>
          <w:p>
            <w:pPr>
              <w:spacing w:after="0"/>
            </w:pPr>
            <w:r>
              <w:rPr>
                <w:b/>
                <w:bCs/>
                <w:color w:val="FFFFFF"/>
                <w:sz w:val="19"/>
                <w:szCs w:val="19"/>
              </w:rPr>
              <w:t xml:space="preserve">Expected Accuracy Impact</w:t>
            </w:r>
          </w:p>
        </w:tc>
      </w:tr>
      <w:tr>
        <w:tc>
          <w:tcPr>
            <w:tcW w:type="dxa" w:w="2600"/>
            <w:tcMar>
              <w:top w:type="dxa" w:w="80"/>
              <w:left w:type="dxa" w:w="100"/>
              <w:bottom w:type="dxa" w:w="80"/>
              <w:right w:type="dxa" w:w="100"/>
            </w:tcMar>
            <w:vAlign w:val="center"/>
          </w:tcPr>
          <w:p>
            <w:pPr>
              <w:spacing w:after="0"/>
            </w:pPr>
            <w:r>
              <w:rPr>
                <w:sz w:val="19"/>
                <w:szCs w:val="19"/>
              </w:rPr>
              <w:t xml:space="preserve">Full-precision cloud teacher model</w:t>
            </w:r>
          </w:p>
        </w:tc>
        <w:tc>
          <w:tcPr>
            <w:tcW w:type="dxa" w:w="3160"/>
            <w:tcMar>
              <w:top w:type="dxa" w:w="80"/>
              <w:left w:type="dxa" w:w="100"/>
              <w:bottom w:type="dxa" w:w="80"/>
              <w:right w:type="dxa" w:w="100"/>
            </w:tcMar>
            <w:vAlign w:val="center"/>
          </w:tcPr>
          <w:p>
            <w:pPr>
              <w:spacing w:after="0"/>
            </w:pPr>
            <w:r>
              <w:rPr>
                <w:sz w:val="19"/>
                <w:szCs w:val="19"/>
              </w:rPr>
              <w:t xml:space="preserve">Tens of MB</w:t>
            </w:r>
          </w:p>
        </w:tc>
        <w:tc>
          <w:tcPr>
            <w:tcW w:type="dxa" w:w="3600"/>
            <w:tcMar>
              <w:top w:type="dxa" w:w="80"/>
              <w:left w:type="dxa" w:w="100"/>
              <w:bottom w:type="dxa" w:w="80"/>
              <w:right w:type="dxa" w:w="100"/>
            </w:tcMar>
            <w:vAlign w:val="center"/>
          </w:tcPr>
          <w:p>
            <w:pPr>
              <w:spacing w:after="0"/>
            </w:pPr>
            <w:r>
              <w:rPr>
                <w:sz w:val="19"/>
                <w:szCs w:val="19"/>
              </w:rPr>
              <w:t xml:space="preserve">Baseline (100% reference)</w:t>
            </w:r>
          </w:p>
        </w:tc>
      </w:tr>
      <w:tr>
        <w:tc>
          <w:tcPr>
            <w:tcW w:type="dxa" w:w="2600"/>
            <w:shd w:fill="F5F8FC" w:val="clear"/>
            <w:tcMar>
              <w:top w:type="dxa" w:w="80"/>
              <w:left w:type="dxa" w:w="100"/>
              <w:bottom w:type="dxa" w:w="80"/>
              <w:right w:type="dxa" w:w="100"/>
            </w:tcMar>
            <w:vAlign w:val="center"/>
          </w:tcPr>
          <w:p>
            <w:pPr>
              <w:spacing w:after="0"/>
            </w:pPr>
            <w:r>
              <w:rPr>
                <w:sz w:val="19"/>
                <w:szCs w:val="19"/>
              </w:rPr>
              <w:t xml:space="preserve">Distilled student (float32)</w:t>
            </w:r>
          </w:p>
        </w:tc>
        <w:tc>
          <w:tcPr>
            <w:tcW w:type="dxa" w:w="3160"/>
            <w:shd w:fill="F5F8FC" w:val="clear"/>
            <w:tcMar>
              <w:top w:type="dxa" w:w="80"/>
              <w:left w:type="dxa" w:w="100"/>
              <w:bottom w:type="dxa" w:w="80"/>
              <w:right w:type="dxa" w:w="100"/>
            </w:tcMar>
            <w:vAlign w:val="center"/>
          </w:tcPr>
          <w:p>
            <w:pPr>
              <w:spacing w:after="0"/>
            </w:pPr>
            <w:r>
              <w:rPr>
                <w:sz w:val="19"/>
                <w:szCs w:val="19"/>
              </w:rPr>
              <w:t xml:space="preserve">50–200 KB</w:t>
            </w:r>
          </w:p>
        </w:tc>
        <w:tc>
          <w:tcPr>
            <w:tcW w:type="dxa" w:w="3600"/>
            <w:shd w:fill="F5F8FC" w:val="clear"/>
            <w:tcMar>
              <w:top w:type="dxa" w:w="80"/>
              <w:left w:type="dxa" w:w="100"/>
              <w:bottom w:type="dxa" w:w="80"/>
              <w:right w:type="dxa" w:w="100"/>
            </w:tcMar>
            <w:vAlign w:val="center"/>
          </w:tcPr>
          <w:p>
            <w:pPr>
              <w:spacing w:after="0"/>
            </w:pPr>
            <w:r>
              <w:rPr>
                <w:sz w:val="19"/>
                <w:szCs w:val="19"/>
              </w:rPr>
              <w:t xml:space="preserve">Small drop, recovered via distillation</w:t>
            </w:r>
          </w:p>
        </w:tc>
      </w:tr>
      <w:tr>
        <w:tc>
          <w:tcPr>
            <w:tcW w:type="dxa" w:w="2600"/>
            <w:tcMar>
              <w:top w:type="dxa" w:w="80"/>
              <w:left w:type="dxa" w:w="100"/>
              <w:bottom w:type="dxa" w:w="80"/>
              <w:right w:type="dxa" w:w="100"/>
            </w:tcMar>
            <w:vAlign w:val="center"/>
          </w:tcPr>
          <w:p>
            <w:pPr>
              <w:spacing w:after="0"/>
            </w:pPr>
            <w:r>
              <w:rPr>
                <w:sz w:val="19"/>
                <w:szCs w:val="19"/>
              </w:rPr>
              <w:t xml:space="preserve">INT8 post-training quantized</w:t>
            </w:r>
          </w:p>
        </w:tc>
        <w:tc>
          <w:tcPr>
            <w:tcW w:type="dxa" w:w="3160"/>
            <w:tcMar>
              <w:top w:type="dxa" w:w="80"/>
              <w:left w:type="dxa" w:w="100"/>
              <w:bottom w:type="dxa" w:w="80"/>
              <w:right w:type="dxa" w:w="100"/>
            </w:tcMar>
            <w:vAlign w:val="center"/>
          </w:tcPr>
          <w:p>
            <w:pPr>
              <w:spacing w:after="0"/>
            </w:pPr>
            <w:r>
              <w:rPr>
                <w:sz w:val="19"/>
                <w:szCs w:val="19"/>
              </w:rPr>
              <w:t xml:space="preserve">≈ 4x smaller than float32 student</w:t>
            </w:r>
          </w:p>
        </w:tc>
        <w:tc>
          <w:tcPr>
            <w:tcW w:type="dxa" w:w="3600"/>
            <w:tcMar>
              <w:top w:type="dxa" w:w="80"/>
              <w:left w:type="dxa" w:w="100"/>
              <w:bottom w:type="dxa" w:w="80"/>
              <w:right w:type="dxa" w:w="100"/>
            </w:tcMar>
            <w:vAlign w:val="center"/>
          </w:tcPr>
          <w:p>
            <w:pPr>
              <w:spacing w:after="0"/>
            </w:pPr>
            <w:r>
              <w:rPr>
                <w:sz w:val="19"/>
                <w:szCs w:val="19"/>
              </w:rPr>
              <w:t xml:space="preserve">Minor additional drop; mitigated with quantization-aware training if needed</w:t>
            </w:r>
          </w:p>
        </w:tc>
      </w:tr>
      <w:tr>
        <w:tc>
          <w:tcPr>
            <w:tcW w:type="dxa" w:w="2600"/>
            <w:shd w:fill="F5F8FC" w:val="clear"/>
            <w:tcMar>
              <w:top w:type="dxa" w:w="80"/>
              <w:left w:type="dxa" w:w="100"/>
              <w:bottom w:type="dxa" w:w="80"/>
              <w:right w:type="dxa" w:w="100"/>
            </w:tcMar>
            <w:vAlign w:val="center"/>
          </w:tcPr>
          <w:p>
            <w:pPr>
              <w:spacing w:after="0"/>
            </w:pPr>
            <w:r>
              <w:rPr>
                <w:sz w:val="19"/>
                <w:szCs w:val="19"/>
              </w:rPr>
              <w:t xml:space="preserve">Pruned + quantized (gateway tier)</w:t>
            </w:r>
          </w:p>
        </w:tc>
        <w:tc>
          <w:tcPr>
            <w:tcW w:type="dxa" w:w="3160"/>
            <w:shd w:fill="F5F8FC" w:val="clear"/>
            <w:tcMar>
              <w:top w:type="dxa" w:w="80"/>
              <w:left w:type="dxa" w:w="100"/>
              <w:bottom w:type="dxa" w:w="80"/>
              <w:right w:type="dxa" w:w="100"/>
            </w:tcMar>
            <w:vAlign w:val="center"/>
          </w:tcPr>
          <w:p>
            <w:pPr>
              <w:spacing w:after="0"/>
            </w:pPr>
            <w:r>
              <w:rPr>
                <w:sz w:val="19"/>
                <w:szCs w:val="19"/>
              </w:rPr>
              <w:t xml:space="preserve">≤ 1 MB total</w:t>
            </w:r>
          </w:p>
        </w:tc>
        <w:tc>
          <w:tcPr>
            <w:tcW w:type="dxa" w:w="3600"/>
            <w:shd w:fill="F5F8FC" w:val="clear"/>
            <w:tcMar>
              <w:top w:type="dxa" w:w="80"/>
              <w:left w:type="dxa" w:w="100"/>
              <w:bottom w:type="dxa" w:w="80"/>
              <w:right w:type="dxa" w:w="100"/>
            </w:tcMar>
            <w:vAlign w:val="center"/>
          </w:tcPr>
          <w:p>
            <w:pPr>
              <w:spacing w:after="0"/>
            </w:pPr>
            <w:r>
              <w:rPr>
                <w:sz w:val="19"/>
                <w:szCs w:val="19"/>
              </w:rPr>
              <w:t xml:space="preserve">Within acceptable tolerance defined in Section 8</w:t>
            </w:r>
          </w:p>
        </w:tc>
      </w:tr>
      <w:tr>
        <w:tc>
          <w:tcPr>
            <w:tcW w:type="dxa" w:w="2600"/>
            <w:tcMar>
              <w:top w:type="dxa" w:w="80"/>
              <w:left w:type="dxa" w:w="100"/>
              <w:bottom w:type="dxa" w:w="80"/>
              <w:right w:type="dxa" w:w="100"/>
            </w:tcMar>
            <w:vAlign w:val="center"/>
          </w:tcPr>
          <w:p>
            <w:pPr>
              <w:spacing w:after="0"/>
            </w:pPr>
            <w:r>
              <w:rPr>
                <w:sz w:val="19"/>
                <w:szCs w:val="19"/>
              </w:rPr>
              <w:t xml:space="preserve">Node-tier minimal detector</w:t>
            </w:r>
          </w:p>
        </w:tc>
        <w:tc>
          <w:tcPr>
            <w:tcW w:type="dxa" w:w="3160"/>
            <w:tcMar>
              <w:top w:type="dxa" w:w="80"/>
              <w:left w:type="dxa" w:w="100"/>
              <w:bottom w:type="dxa" w:w="80"/>
              <w:right w:type="dxa" w:w="100"/>
            </w:tcMar>
            <w:vAlign w:val="center"/>
          </w:tcPr>
          <w:p>
            <w:pPr>
              <w:spacing w:after="0"/>
            </w:pPr>
            <w:r>
              <w:rPr>
                <w:sz w:val="19"/>
                <w:szCs w:val="19"/>
              </w:rPr>
              <w:t xml:space="preserve">≤ 200 KB total</w:t>
            </w:r>
          </w:p>
        </w:tc>
        <w:tc>
          <w:tcPr>
            <w:tcW w:type="dxa" w:w="3600"/>
            <w:tcMar>
              <w:top w:type="dxa" w:w="80"/>
              <w:left w:type="dxa" w:w="100"/>
              <w:bottom w:type="dxa" w:w="80"/>
              <w:right w:type="dxa" w:w="100"/>
            </w:tcMar>
            <w:vAlign w:val="center"/>
          </w:tcPr>
          <w:p>
            <w:pPr>
              <w:spacing w:after="0"/>
            </w:pPr>
            <w:r>
              <w:rPr>
                <w:sz w:val="19"/>
                <w:szCs w:val="19"/>
              </w:rPr>
              <w:t xml:space="preserve">Tuned for high recall on sudden-onset patterns; precision intentionally traded off, since the cloud path re-validates</w:t>
            </w:r>
          </w:p>
        </w:tc>
      </w:tr>
    </w:tbl>
    <w:p>
      <w:pPr>
        <w:pStyle w:val="Heading1"/>
        <w:pBdr>
          <w:bottom w:val="single" w:color="1F3864" w:sz="6" w:space="4"/>
        </w:pBdr>
        <w:spacing w:after="200" w:before="400"/>
      </w:pPr>
      <w:r>
        <w:rPr>
          <w:b/>
          <w:bCs/>
          <w:color w:val="1F3864"/>
          <w:sz w:val="30"/>
          <w:szCs w:val="30"/>
        </w:rPr>
        <w:t xml:space="preserve">5. Hardware-Specific Optimization</w:t>
      </w:r>
    </w:p>
    <w:p>
      <w:pPr>
        <w:pStyle w:val="ListParagraph"/>
        <w:numPr>
          <w:ilvl w:val="0"/>
          <w:numId w:val="2"/>
        </w:numPr>
        <w:spacing w:after="80"/>
      </w:pPr>
      <w:r>
        <w:rPr>
          <w:sz w:val="21"/>
          <w:szCs w:val="21"/>
        </w:rPr>
        <w:t xml:space="preserve">Fixed-point arithmetic throughout the inference path to match MCU capabilities and avoid costly software floating-point emulation where the target lacks an FPU.</w:t>
      </w:r>
    </w:p>
    <w:p>
      <w:pPr>
        <w:pStyle w:val="ListParagraph"/>
        <w:numPr>
          <w:ilvl w:val="0"/>
          <w:numId w:val="2"/>
        </w:numPr>
        <w:spacing w:after="80"/>
      </w:pPr>
      <w:r>
        <w:rPr>
          <w:sz w:val="21"/>
          <w:szCs w:val="21"/>
        </w:rPr>
        <w:t xml:space="preserve">Operator selection restricted to a small, well-supported subset (dense/fully-connected layers, simple 1D-convolutions, basic activation functions) to keep the embedded runtime's kernel library minimal.</w:t>
      </w:r>
    </w:p>
    <w:p>
      <w:pPr>
        <w:pStyle w:val="ListParagraph"/>
        <w:numPr>
          <w:ilvl w:val="0"/>
          <w:numId w:val="2"/>
        </w:numPr>
        <w:spacing w:after="80"/>
      </w:pPr>
      <w:r>
        <w:rPr>
          <w:sz w:val="21"/>
          <w:szCs w:val="21"/>
        </w:rPr>
        <w:t xml:space="preserve">Static memory allocation for model weights and activation buffers (no dynamic heap allocation during inference) to avoid fragmentation on memory-constrained devices.</w:t>
      </w:r>
    </w:p>
    <w:p>
      <w:pPr>
        <w:pStyle w:val="ListParagraph"/>
        <w:numPr>
          <w:ilvl w:val="0"/>
          <w:numId w:val="2"/>
        </w:numPr>
        <w:spacing w:after="80"/>
      </w:pPr>
      <w:r>
        <w:rPr>
          <w:sz w:val="21"/>
          <w:szCs w:val="21"/>
        </w:rPr>
        <w:t xml:space="preserve">Duty-cycled inference: the node/gateway wakes on a configurable sampling interval, runs inference, and returns to a low-power sleep state, aligning with the platform's configurable sampling rate requirement and solar/battery power budget.</w:t>
      </w:r>
    </w:p>
    <w:p>
      <w:pPr>
        <w:pStyle w:val="ListParagraph"/>
        <w:numPr>
          <w:ilvl w:val="0"/>
          <w:numId w:val="2"/>
        </w:numPr>
        <w:spacing w:after="80"/>
      </w:pPr>
      <w:r>
        <w:rPr>
          <w:sz w:val="21"/>
          <w:szCs w:val="21"/>
        </w:rPr>
        <w:t xml:space="preserve">Shared feature-extraction code between the embedded C/C++ inference path and the cloud-side Python training pipeline (via a common specification) to prevent subtle train/serve mismatches.</w:t>
      </w:r>
    </w:p>
    <w:p>
      <w:pPr>
        <w:pStyle w:val="Heading1"/>
        <w:pBdr>
          <w:bottom w:val="single" w:color="1F3864" w:sz="6" w:space="4"/>
        </w:pBdr>
        <w:spacing w:after="200" w:before="400"/>
      </w:pPr>
      <w:r>
        <w:rPr>
          <w:b/>
          <w:bCs/>
          <w:color w:val="1F3864"/>
          <w:sz w:val="30"/>
          <w:szCs w:val="30"/>
        </w:rPr>
        <w:t xml:space="preserve">6. On-Device Inference Runtime</w:t>
      </w:r>
    </w:p>
    <w:p>
      <w:pPr>
        <w:spacing w:after="160" w:line="276"/>
      </w:pPr>
      <w:r>
        <w:rPr>
          <w:sz w:val="21"/>
          <w:szCs w:val="21"/>
        </w:rPr>
        <w:t xml:space="preserve">The embedded inference runtime is a minimal interpreter (or, where model complexity allows, compiled inference code) responsible for loading a quantized model, running the feature-extraction and inference steps within the sampling loop, and emitting a structured local detection event.</w:t>
      </w:r>
    </w:p>
    <w:p>
      <w:pPr>
        <w:pStyle w:val="Heading2"/>
        <w:spacing w:after="150" w:before="300"/>
      </w:pPr>
      <w:r>
        <w:rPr>
          <w:b/>
          <w:bCs/>
          <w:color w:val="2E75B6"/>
          <w:sz w:val="25"/>
          <w:szCs w:val="25"/>
        </w:rPr>
        <w:t xml:space="preserve">6.1 Runtime Responsibilities</w:t>
      </w:r>
    </w:p>
    <w:p>
      <w:pPr>
        <w:pStyle w:val="ListParagraph"/>
        <w:numPr>
          <w:ilvl w:val="0"/>
          <w:numId w:val="3"/>
        </w:numPr>
        <w:spacing w:after="80"/>
      </w:pPr>
      <w:r>
        <w:rPr>
          <w:sz w:val="21"/>
          <w:szCs w:val="21"/>
        </w:rPr>
        <w:t xml:space="preserve">Read the latest sensor window from the local ring buffer maintained by the sensing firmware.</w:t>
      </w:r>
    </w:p>
    <w:p>
      <w:pPr>
        <w:pStyle w:val="ListParagraph"/>
        <w:numPr>
          <w:ilvl w:val="0"/>
          <w:numId w:val="3"/>
        </w:numPr>
        <w:spacing w:after="80"/>
      </w:pPr>
      <w:r>
        <w:rPr>
          <w:sz w:val="21"/>
          <w:szCs w:val="21"/>
        </w:rPr>
        <w:t xml:space="preserve">Compute the fixed feature set (Section 3.3) using integer/fixed-point arithmetic.</w:t>
      </w:r>
    </w:p>
    <w:p>
      <w:pPr>
        <w:pStyle w:val="ListParagraph"/>
        <w:numPr>
          <w:ilvl w:val="0"/>
          <w:numId w:val="3"/>
        </w:numPr>
        <w:spacing w:after="80"/>
      </w:pPr>
      <w:r>
        <w:rPr>
          <w:sz w:val="21"/>
          <w:szCs w:val="21"/>
        </w:rPr>
        <w:t xml:space="preserve">Run the quantized model forward pass to obtain an anomaly score and, where the model supports it, a coarse confidence estimate.</w:t>
      </w:r>
    </w:p>
    <w:p>
      <w:pPr>
        <w:pStyle w:val="ListParagraph"/>
        <w:numPr>
          <w:ilvl w:val="0"/>
          <w:numId w:val="3"/>
        </w:numPr>
        <w:spacing w:after="80"/>
      </w:pPr>
      <w:r>
        <w:rPr>
          <w:sz w:val="21"/>
          <w:szCs w:val="21"/>
        </w:rPr>
        <w:t xml:space="preserve">Compare the anomaly score against the locally stored threshold configuration (synced from the cloud Site Config Store, consistent with the Alerting System's per-site thresholds).</w:t>
      </w:r>
    </w:p>
    <w:p>
      <w:pPr>
        <w:pStyle w:val="ListParagraph"/>
        <w:numPr>
          <w:ilvl w:val="0"/>
          <w:numId w:val="3"/>
        </w:numPr>
        <w:spacing w:after="80"/>
      </w:pPr>
      <w:r>
        <w:rPr>
          <w:sz w:val="21"/>
          <w:szCs w:val="21"/>
        </w:rPr>
        <w:t xml:space="preserve">On threshold breach: (a) trigger the local siren/beacon immediately if this is a node-tier high-risk deployment, and/or (b) enqueue a structured local detection event for mesh transmission to the gateway.</w:t>
      </w:r>
    </w:p>
    <w:p>
      <w:pPr>
        <w:pStyle w:val="ListParagraph"/>
        <w:numPr>
          <w:ilvl w:val="0"/>
          <w:numId w:val="3"/>
        </w:numPr>
        <w:spacing w:after="80"/>
      </w:pPr>
      <w:r>
        <w:rPr>
          <w:sz w:val="21"/>
          <w:szCs w:val="21"/>
        </w:rPr>
        <w:t xml:space="preserve">Continuously report model version, last-inference timestamp, and basic health telemetry alongside normal sensor data, reusing the mesh self-health reporting channel.</w:t>
      </w:r>
    </w:p>
    <w:p>
      <w:pPr>
        <w:pStyle w:val="Heading2"/>
        <w:spacing w:after="150" w:before="300"/>
      </w:pPr>
      <w:r>
        <w:rPr>
          <w:b/>
          <w:bCs/>
          <w:color w:val="2E75B6"/>
          <w:sz w:val="25"/>
          <w:szCs w:val="25"/>
        </w:rPr>
        <w:t xml:space="preserve">6.2 Local Detection Event Schema</w:t>
      </w:r>
    </w:p>
    <w:p>
      <w:pPr>
        <w:pBdr>
          <w:top w:val="single" w:color="BFBFBF" w:sz="4" w:space="4"/>
          <w:bottom w:val="single" w:color="BFBFBF" w:sz="4" w:space="4"/>
          <w:left w:val="single" w:color="BFBFBF" w:sz="4" w:space="4"/>
          <w:right w:val="single" w:color="BFBFBF" w:sz="4" w:space="4"/>
        </w:pBdr>
        <w:shd w:fill="F2F2F2" w:val="clear"/>
        <w:spacing w:after="200" w:before="100"/>
      </w:pPr>
      <w:r>
        <w:rPr>
          <w:rFonts w:ascii="Consolas" w:cs="Consolas" w:eastAsia="Consolas" w:hAnsi="Consolas"/>
          <w:color w:val="333333"/>
          <w:sz w:val="18"/>
          <w:szCs w:val="18"/>
        </w:rPr>
        <w:t xml:space="preserve">{</w:t>
      </w:r>
      <w:r>
        <w:br/>
        <w:t xml:space="preserve"/>
      </w:r>
      <w:r>
        <w:rPr>
          <w:rFonts w:ascii="Consolas" w:cs="Consolas" w:eastAsia="Consolas" w:hAnsi="Consolas"/>
          <w:color w:val="333333"/>
          <w:sz w:val="18"/>
          <w:szCs w:val="18"/>
        </w:rPr>
        <w:t xml:space="preserve">  "node_id": "N-021",</w:t>
      </w:r>
      <w:r>
        <w:br/>
        <w:t xml:space="preserve"/>
      </w:r>
      <w:r>
        <w:rPr>
          <w:rFonts w:ascii="Consolas" w:cs="Consolas" w:eastAsia="Consolas" w:hAnsi="Consolas"/>
          <w:color w:val="333333"/>
          <w:sz w:val="18"/>
          <w:szCs w:val="18"/>
        </w:rPr>
        <w:t xml:space="preserve">  "model_version": "gw-autoencoder-v1.3.0",</w:t>
      </w:r>
      <w:r>
        <w:br/>
        <w:t xml:space="preserve"/>
      </w:r>
      <w:r>
        <w:rPr>
          <w:rFonts w:ascii="Consolas" w:cs="Consolas" w:eastAsia="Consolas" w:hAnsi="Consolas"/>
          <w:color w:val="333333"/>
          <w:sz w:val="18"/>
          <w:szCs w:val="18"/>
        </w:rPr>
        <w:t xml:space="preserve">  "window_end_ts": "2026-09-09T05:11:58Z",</w:t>
      </w:r>
      <w:r>
        <w:br/>
        <w:t xml:space="preserve"/>
      </w:r>
      <w:r>
        <w:rPr>
          <w:rFonts w:ascii="Consolas" w:cs="Consolas" w:eastAsia="Consolas" w:hAnsi="Consolas"/>
          <w:color w:val="333333"/>
          <w:sz w:val="18"/>
          <w:szCs w:val="18"/>
        </w:rPr>
        <w:t xml:space="preserve">  "anomaly_score": 0.79,</w:t>
      </w:r>
      <w:r>
        <w:br/>
        <w:t xml:space="preserve"/>
      </w:r>
      <w:r>
        <w:rPr>
          <w:rFonts w:ascii="Consolas" w:cs="Consolas" w:eastAsia="Consolas" w:hAnsi="Consolas"/>
          <w:color w:val="333333"/>
          <w:sz w:val="18"/>
          <w:szCs w:val="18"/>
        </w:rPr>
        <w:t xml:space="preserve">  "local_confidence": 0.62,</w:t>
      </w:r>
      <w:r>
        <w:br/>
        <w:t xml:space="preserve"/>
      </w:r>
      <w:r>
        <w:rPr>
          <w:rFonts w:ascii="Consolas" w:cs="Consolas" w:eastAsia="Consolas" w:hAnsi="Consolas"/>
          <w:color w:val="333333"/>
          <w:sz w:val="18"/>
          <w:szCs w:val="18"/>
        </w:rPr>
        <w:t xml:space="preserve">  "contributing_features": ["tilt_rate", "vibration_rms"],</w:t>
      </w:r>
      <w:r>
        <w:br/>
        <w:t xml:space="preserve"/>
      </w:r>
      <w:r>
        <w:rPr>
          <w:rFonts w:ascii="Consolas" w:cs="Consolas" w:eastAsia="Consolas" w:hAnsi="Consolas"/>
          <w:color w:val="333333"/>
          <w:sz w:val="18"/>
          <w:szCs w:val="18"/>
        </w:rPr>
        <w:t xml:space="preserve">  "threshold_breached": "warning",</w:t>
      </w:r>
      <w:r>
        <w:br/>
        <w:t xml:space="preserve"/>
      </w:r>
      <w:r>
        <w:rPr>
          <w:rFonts w:ascii="Consolas" w:cs="Consolas" w:eastAsia="Consolas" w:hAnsi="Consolas"/>
          <w:color w:val="333333"/>
          <w:sz w:val="18"/>
          <w:szCs w:val="18"/>
        </w:rPr>
        <w:t xml:space="preserve">  "siren_triggered": false,</w:t>
      </w:r>
      <w:r>
        <w:br/>
        <w:t xml:space="preserve"/>
      </w:r>
      <w:r>
        <w:rPr>
          <w:rFonts w:ascii="Consolas" w:cs="Consolas" w:eastAsia="Consolas" w:hAnsi="Consolas"/>
          <w:color w:val="333333"/>
          <w:sz w:val="18"/>
          <w:szCs w:val="18"/>
        </w:rPr>
        <w:t xml:space="preserve">  "source_tier": "gateway"</w:t>
      </w:r>
      <w:r>
        <w:br/>
        <w:t xml:space="preserve"/>
      </w:r>
      <w:r>
        <w:rPr>
          <w:rFonts w:ascii="Consolas" w:cs="Consolas" w:eastAsia="Consolas" w:hAnsi="Consolas"/>
          <w:color w:val="333333"/>
          <w:sz w:val="18"/>
          <w:szCs w:val="18"/>
        </w:rPr>
        <w:t xml:space="preserve">}</w:t>
      </w:r>
    </w:p>
    <w:p>
      <w:pPr>
        <w:spacing w:after="160" w:line="276"/>
      </w:pPr>
      <w:r>
        <w:rPr>
          <w:sz w:val="21"/>
          <w:szCs w:val="21"/>
        </w:rPr>
        <w:t xml:space="preserve">This event is intentionally close in shape to the cloud Risk Event object consumed by the Alerting System, so the same downstream classification and explainability conventions apply whether an anomaly is first surfaced at the edge or in the cloud (see the SubSense Alerting System Technical Document, Section 4.1).</w:t>
      </w:r>
    </w:p>
    <w:p>
      <w:pPr>
        <w:pStyle w:val="Heading1"/>
        <w:pBdr>
          <w:bottom w:val="single" w:color="1F3864" w:sz="6" w:space="4"/>
        </w:pBdr>
        <w:spacing w:after="200" w:before="400"/>
      </w:pPr>
      <w:r>
        <w:rPr>
          <w:b/>
          <w:bCs/>
          <w:color w:val="1F3864"/>
          <w:sz w:val="30"/>
          <w:szCs w:val="30"/>
        </w:rPr>
        <w:t xml:space="preserve">7. Model Versioning &amp; OTA Update Strategy</w:t>
      </w:r>
    </w:p>
    <w:p>
      <w:pPr>
        <w:spacing w:after="160" w:line="276"/>
      </w:pPr>
      <w:r>
        <w:rPr>
          <w:sz w:val="21"/>
          <w:szCs w:val="21"/>
        </w:rPr>
        <w:t xml:space="preserve">Because gateways and nodes may run detection autonomously for extended periods without connectivity, model updates must be safe, versioned, and resumable.</w:t>
      </w:r>
    </w:p>
    <w:p>
      <w:pPr>
        <w:pStyle w:val="ListParagraph"/>
        <w:numPr>
          <w:ilvl w:val="0"/>
          <w:numId w:val="3"/>
        </w:numPr>
        <w:spacing w:after="80"/>
      </w:pPr>
      <w:r>
        <w:rPr>
          <w:sz w:val="21"/>
          <w:szCs w:val="21"/>
        </w:rPr>
        <w:t xml:space="preserve">Every trained and validated model artifact is assigned a semantic version (e.g. gw-autoencoder-v1.3.0) and stored in a model registry alongside its validation metrics and the training/threshold configuration used to produce it.</w:t>
      </w:r>
    </w:p>
    <w:p>
      <w:pPr>
        <w:pStyle w:val="ListParagraph"/>
        <w:numPr>
          <w:ilvl w:val="0"/>
          <w:numId w:val="3"/>
        </w:numPr>
        <w:spacing w:after="80"/>
      </w:pPr>
      <w:r>
        <w:rPr>
          <w:sz w:val="21"/>
          <w:szCs w:val="21"/>
        </w:rPr>
        <w:t xml:space="preserve">When a gateway regains connectivity, it checks the registry for a newer compatible model version for its site and hardware tier.</w:t>
      </w:r>
    </w:p>
    <w:p>
      <w:pPr>
        <w:pStyle w:val="ListParagraph"/>
        <w:numPr>
          <w:ilvl w:val="0"/>
          <w:numId w:val="3"/>
        </w:numPr>
        <w:spacing w:after="80"/>
      </w:pPr>
      <w:r>
        <w:rPr>
          <w:sz w:val="21"/>
          <w:szCs w:val="21"/>
        </w:rPr>
        <w:t xml:space="preserve">New models are downloaded to a staging area on the gateway and validated (checksum, basic smoke-test inference on a held-out local sample) before being promoted to the active slot.</w:t>
      </w:r>
    </w:p>
    <w:p>
      <w:pPr>
        <w:pStyle w:val="ListParagraph"/>
        <w:numPr>
          <w:ilvl w:val="0"/>
          <w:numId w:val="3"/>
        </w:numPr>
        <w:spacing w:after="80"/>
      </w:pPr>
      <w:r>
        <w:rPr>
          <w:sz w:val="21"/>
          <w:szCs w:val="21"/>
        </w:rPr>
        <w:t xml:space="preserve">A dual-slot (A/B) storage scheme keeps the previous known-good model available; if the new model fails validation or causes runtime errors after promotion, the gateway automatically rolls back to the previous slot.</w:t>
      </w:r>
    </w:p>
    <w:p>
      <w:pPr>
        <w:pStyle w:val="ListParagraph"/>
        <w:numPr>
          <w:ilvl w:val="0"/>
          <w:numId w:val="3"/>
        </w:numPr>
        <w:spacing w:after="80"/>
      </w:pPr>
      <w:r>
        <w:rPr>
          <w:sz w:val="21"/>
          <w:szCs w:val="21"/>
        </w:rPr>
        <w:t xml:space="preserve">For node-tier models, the gateway relays validated updates over the mesh in small chunks, tolerant of intermittent node connectivity, and nodes similarly retain a rollback slot where flash budget allows.</w:t>
      </w:r>
    </w:p>
    <w:p>
      <w:pPr>
        <w:pStyle w:val="ListParagraph"/>
        <w:numPr>
          <w:ilvl w:val="0"/>
          <w:numId w:val="3"/>
        </w:numPr>
        <w:spacing w:after="80"/>
      </w:pPr>
      <w:r>
        <w:rPr>
          <w:sz w:val="21"/>
          <w:szCs w:val="21"/>
        </w:rPr>
        <w:t xml:space="preserve">Every locally generated detection event (Section 6.2) carries its model_version, so cloud-side analytics and the Alerting System's audit trail can always attribute an edge alert to the exact model that produced it (traceability requirement shared with the Alerting System).</w:t>
      </w:r>
    </w:p>
    <w:p>
      <w:pPr>
        <w:pStyle w:val="Heading1"/>
        <w:pBdr>
          <w:bottom w:val="single" w:color="1F3864" w:sz="6" w:space="4"/>
        </w:pBdr>
        <w:spacing w:after="200" w:before="400"/>
      </w:pPr>
      <w:r>
        <w:rPr>
          <w:b/>
          <w:bCs/>
          <w:color w:val="1F3864"/>
          <w:sz w:val="30"/>
          <w:szCs w:val="30"/>
        </w:rPr>
        <w:t xml:space="preserve">8. Evaluation Methodology</w:t>
      </w:r>
    </w:p>
    <w:p>
      <w:pPr>
        <w:spacing w:after="160" w:line="276"/>
      </w:pPr>
      <w:r>
        <w:rPr>
          <w:sz w:val="21"/>
          <w:szCs w:val="21"/>
        </w:rPr>
        <w:t xml:space="preserve">Edge models are evaluated on two axes: detection quality (relative to the cloud teacher model and against labelled/simulated ground truth) and on-device feasibility (resource and latency budget).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shd w:fill="1F3864" w:val="clear"/>
            <w:tcMar>
              <w:top w:type="dxa" w:w="80"/>
              <w:left w:type="dxa" w:w="100"/>
              <w:bottom w:type="dxa" w:w="80"/>
              <w:right w:type="dxa" w:w="100"/>
            </w:tcMar>
            <w:vAlign w:val="center"/>
          </w:tcPr>
          <w:p>
            <w:pPr>
              <w:spacing w:after="0"/>
            </w:pPr>
            <w:r>
              <w:rPr>
                <w:b/>
                <w:bCs/>
                <w:color w:val="FFFFFF"/>
                <w:sz w:val="19"/>
                <w:szCs w:val="19"/>
              </w:rPr>
              <w:t xml:space="preserve">Metric</w:t>
            </w:r>
          </w:p>
        </w:tc>
        <w:tc>
          <w:tcPr>
            <w:tcW w:type="dxa" w:w="6360"/>
            <w:shd w:fill="1F3864" w:val="clear"/>
            <w:tcMar>
              <w:top w:type="dxa" w:w="80"/>
              <w:left w:type="dxa" w:w="100"/>
              <w:bottom w:type="dxa" w:w="80"/>
              <w:right w:type="dxa" w:w="100"/>
            </w:tcMar>
            <w:vAlign w:val="center"/>
          </w:tcPr>
          <w:p>
            <w:pPr>
              <w:spacing w:after="0"/>
            </w:pPr>
            <w:r>
              <w:rPr>
                <w:b/>
                <w:bCs/>
                <w:color w:val="FFFFFF"/>
                <w:sz w:val="19"/>
                <w:szCs w:val="19"/>
              </w:rPr>
              <w:t xml:space="preserve">Target / Method</w:t>
            </w:r>
          </w:p>
        </w:tc>
      </w:tr>
      <w:tr>
        <w:tc>
          <w:tcPr>
            <w:tcW w:type="dxa" w:w="3000"/>
            <w:tcMar>
              <w:top w:type="dxa" w:w="80"/>
              <w:left w:type="dxa" w:w="100"/>
              <w:bottom w:type="dxa" w:w="80"/>
              <w:right w:type="dxa" w:w="100"/>
            </w:tcMar>
            <w:vAlign w:val="center"/>
          </w:tcPr>
          <w:p>
            <w:pPr>
              <w:spacing w:after="0"/>
            </w:pPr>
            <w:r>
              <w:rPr>
                <w:sz w:val="19"/>
                <w:szCs w:val="19"/>
              </w:rPr>
              <w:t xml:space="preserve">Recall on known subsidence-precursor patterns</w:t>
            </w:r>
          </w:p>
        </w:tc>
        <w:tc>
          <w:tcPr>
            <w:tcW w:type="dxa" w:w="6360"/>
            <w:tcMar>
              <w:top w:type="dxa" w:w="80"/>
              <w:left w:type="dxa" w:w="100"/>
              <w:bottom w:type="dxa" w:w="80"/>
              <w:right w:type="dxa" w:w="100"/>
            </w:tcMar>
            <w:vAlign w:val="center"/>
          </w:tcPr>
          <w:p>
            <w:pPr>
              <w:spacing w:after="0"/>
            </w:pPr>
            <w:r>
              <w:rPr>
                <w:sz w:val="19"/>
                <w:szCs w:val="19"/>
              </w:rPr>
              <w:t xml:space="preserve">≥ a defined minimum recall (set from historical/synthetic incident data) prioritized over precision at the edge, since the cloud path re-validates before a Warning/Critical alert is finalized.</w:t>
            </w:r>
          </w:p>
        </w:tc>
      </w:tr>
      <w:tr>
        <w:tc>
          <w:tcPr>
            <w:tcW w:type="dxa" w:w="3000"/>
            <w:shd w:fill="F5F8FC" w:val="clear"/>
            <w:tcMar>
              <w:top w:type="dxa" w:w="80"/>
              <w:left w:type="dxa" w:w="100"/>
              <w:bottom w:type="dxa" w:w="80"/>
              <w:right w:type="dxa" w:w="100"/>
            </w:tcMar>
            <w:vAlign w:val="center"/>
          </w:tcPr>
          <w:p>
            <w:pPr>
              <w:spacing w:after="0"/>
            </w:pPr>
            <w:r>
              <w:rPr>
                <w:sz w:val="19"/>
                <w:szCs w:val="19"/>
              </w:rPr>
              <w:t xml:space="preserve">False-positive rate vs cloud teacher model</w:t>
            </w:r>
          </w:p>
        </w:tc>
        <w:tc>
          <w:tcPr>
            <w:tcW w:type="dxa" w:w="6360"/>
            <w:shd w:fill="F5F8FC" w:val="clear"/>
            <w:tcMar>
              <w:top w:type="dxa" w:w="80"/>
              <w:left w:type="dxa" w:w="100"/>
              <w:bottom w:type="dxa" w:w="80"/>
              <w:right w:type="dxa" w:w="100"/>
            </w:tcMar>
            <w:vAlign w:val="center"/>
          </w:tcPr>
          <w:p>
            <w:pPr>
              <w:spacing w:after="0"/>
            </w:pPr>
            <w:r>
              <w:rPr>
                <w:sz w:val="19"/>
                <w:szCs w:val="19"/>
              </w:rPr>
              <w:t xml:space="preserve">Tracked explicitly; edge false positives are acceptable in exchange for speed only insofar as the cloud path and operator feedback loop can filter them out downstream.</w:t>
            </w:r>
          </w:p>
        </w:tc>
      </w:tr>
      <w:tr>
        <w:tc>
          <w:tcPr>
            <w:tcW w:type="dxa" w:w="3000"/>
            <w:tcMar>
              <w:top w:type="dxa" w:w="80"/>
              <w:left w:type="dxa" w:w="100"/>
              <w:bottom w:type="dxa" w:w="80"/>
              <w:right w:type="dxa" w:w="100"/>
            </w:tcMar>
            <w:vAlign w:val="center"/>
          </w:tcPr>
          <w:p>
            <w:pPr>
              <w:spacing w:after="0"/>
            </w:pPr>
            <w:r>
              <w:rPr>
                <w:sz w:val="19"/>
                <w:szCs w:val="19"/>
              </w:rPr>
              <w:t xml:space="preserve">Inference latency on target hardware</w:t>
            </w:r>
          </w:p>
        </w:tc>
        <w:tc>
          <w:tcPr>
            <w:tcW w:type="dxa" w:w="6360"/>
            <w:tcMar>
              <w:top w:type="dxa" w:w="80"/>
              <w:left w:type="dxa" w:w="100"/>
              <w:bottom w:type="dxa" w:w="80"/>
              <w:right w:type="dxa" w:w="100"/>
            </w:tcMar>
            <w:vAlign w:val="center"/>
          </w:tcPr>
          <w:p>
            <w:pPr>
              <w:spacing w:after="0"/>
            </w:pPr>
            <w:r>
              <w:rPr>
                <w:sz w:val="19"/>
                <w:szCs w:val="19"/>
              </w:rPr>
              <w:t xml:space="preserve">Benchmarked on the actual gateway/node hardware, not just simulated, per the constraints in Section 3.1.</w:t>
            </w:r>
          </w:p>
        </w:tc>
      </w:tr>
      <w:tr>
        <w:tc>
          <w:tcPr>
            <w:tcW w:type="dxa" w:w="3000"/>
            <w:shd w:fill="F5F8FC" w:val="clear"/>
            <w:tcMar>
              <w:top w:type="dxa" w:w="80"/>
              <w:left w:type="dxa" w:w="100"/>
              <w:bottom w:type="dxa" w:w="80"/>
              <w:right w:type="dxa" w:w="100"/>
            </w:tcMar>
            <w:vAlign w:val="center"/>
          </w:tcPr>
          <w:p>
            <w:pPr>
              <w:spacing w:after="0"/>
            </w:pPr>
            <w:r>
              <w:rPr>
                <w:sz w:val="19"/>
                <w:szCs w:val="19"/>
              </w:rPr>
              <w:t xml:space="preserve">Peak RAM / flash usage</w:t>
            </w:r>
          </w:p>
        </w:tc>
        <w:tc>
          <w:tcPr>
            <w:tcW w:type="dxa" w:w="6360"/>
            <w:shd w:fill="F5F8FC" w:val="clear"/>
            <w:tcMar>
              <w:top w:type="dxa" w:w="80"/>
              <w:left w:type="dxa" w:w="100"/>
              <w:bottom w:type="dxa" w:w="80"/>
              <w:right w:type="dxa" w:w="100"/>
            </w:tcMar>
            <w:vAlign w:val="center"/>
          </w:tcPr>
          <w:p>
            <w:pPr>
              <w:spacing w:after="0"/>
            </w:pPr>
            <w:r>
              <w:rPr>
                <w:sz w:val="19"/>
                <w:szCs w:val="19"/>
              </w:rPr>
              <w:t xml:space="preserve">Measured via on-device profiling tools; must remain within the budgets in Section 3.1 with margin for firmware/runtime overhead.</w:t>
            </w:r>
          </w:p>
        </w:tc>
      </w:tr>
      <w:tr>
        <w:tc>
          <w:tcPr>
            <w:tcW w:type="dxa" w:w="3000"/>
            <w:tcMar>
              <w:top w:type="dxa" w:w="80"/>
              <w:left w:type="dxa" w:w="100"/>
              <w:bottom w:type="dxa" w:w="80"/>
              <w:right w:type="dxa" w:w="100"/>
            </w:tcMar>
            <w:vAlign w:val="center"/>
          </w:tcPr>
          <w:p>
            <w:pPr>
              <w:spacing w:after="0"/>
            </w:pPr>
            <w:r>
              <w:rPr>
                <w:sz w:val="19"/>
                <w:szCs w:val="19"/>
              </w:rPr>
              <w:t xml:space="preserve">Power draw per inference cycle</w:t>
            </w:r>
          </w:p>
        </w:tc>
        <w:tc>
          <w:tcPr>
            <w:tcW w:type="dxa" w:w="6360"/>
            <w:tcMar>
              <w:top w:type="dxa" w:w="80"/>
              <w:left w:type="dxa" w:w="100"/>
              <w:bottom w:type="dxa" w:w="80"/>
              <w:right w:type="dxa" w:w="100"/>
            </w:tcMar>
            <w:vAlign w:val="center"/>
          </w:tcPr>
          <w:p>
            <w:pPr>
              <w:spacing w:after="0"/>
            </w:pPr>
            <w:r>
              <w:rPr>
                <w:sz w:val="19"/>
                <w:szCs w:val="19"/>
              </w:rPr>
              <w:t xml:space="preserve">Measured on hardware to validate the multi-month to multi-year operating-life requirement is preserved.</w:t>
            </w:r>
          </w:p>
        </w:tc>
      </w:tr>
      <w:tr>
        <w:tc>
          <w:tcPr>
            <w:tcW w:type="dxa" w:w="3000"/>
            <w:shd w:fill="F5F8FC" w:val="clear"/>
            <w:tcMar>
              <w:top w:type="dxa" w:w="80"/>
              <w:left w:type="dxa" w:w="100"/>
              <w:bottom w:type="dxa" w:w="80"/>
              <w:right w:type="dxa" w:w="100"/>
            </w:tcMar>
            <w:vAlign w:val="center"/>
          </w:tcPr>
          <w:p>
            <w:pPr>
              <w:spacing w:after="0"/>
            </w:pPr>
            <w:r>
              <w:rPr>
                <w:sz w:val="19"/>
                <w:szCs w:val="19"/>
              </w:rPr>
              <w:t xml:space="preserve">Agreement rate with cloud-side detections</w:t>
            </w:r>
          </w:p>
        </w:tc>
        <w:tc>
          <w:tcPr>
            <w:tcW w:type="dxa" w:w="6360"/>
            <w:shd w:fill="F5F8FC" w:val="clear"/>
            <w:tcMar>
              <w:top w:type="dxa" w:w="80"/>
              <w:left w:type="dxa" w:w="100"/>
              <w:bottom w:type="dxa" w:w="80"/>
              <w:right w:type="dxa" w:w="100"/>
            </w:tcMar>
            <w:vAlign w:val="center"/>
          </w:tcPr>
          <w:p>
            <w:pPr>
              <w:spacing w:after="0"/>
            </w:pPr>
            <w:r>
              <w:rPr>
                <w:sz w:val="19"/>
                <w:szCs w:val="19"/>
              </w:rPr>
              <w:t xml:space="preserve">Edge detection events are periodically cross-checked against the same window's cloud-side Isolation Forest/Autoencoder/GNN output once synced, to catch drift between edge and cloud models over time.</w:t>
            </w:r>
          </w:p>
        </w:tc>
      </w:tr>
    </w:tbl>
    <w:p>
      <w:pPr>
        <w:spacing w:after="160" w:line="276"/>
      </w:pPr>
      <w:r>
        <w:rPr>
          <w:sz w:val="21"/>
          <w:szCs w:val="21"/>
        </w:rPr>
        <w:t xml:space="preserve">A candidate model is promoted from the training pipeline to the OTA registry only after passing all thresholds above on both a held-out validation set and on-hardware benchmarking; this gate is analogous to, and feeds the same versioning discipline as, the Alerting System's threshold/model-version traceability (Section 9 of the Alerting System document).</w:t>
      </w:r>
    </w:p>
    <w:p>
      <w:pPr>
        <w:pStyle w:val="Heading1"/>
        <w:pBdr>
          <w:bottom w:val="single" w:color="1F3864" w:sz="6" w:space="4"/>
        </w:pBdr>
        <w:spacing w:after="200" w:before="400"/>
      </w:pPr>
      <w:r>
        <w:rPr>
          <w:b/>
          <w:bCs/>
          <w:color w:val="1F3864"/>
          <w:sz w:val="30"/>
          <w:szCs w:val="30"/>
        </w:rPr>
        <w:t xml:space="preserve">9. Integration with Other Subsystems</w:t>
      </w:r>
    </w:p>
    <w:p>
      <w:pPr>
        <w:pStyle w:val="Heading2"/>
        <w:spacing w:after="150" w:before="300"/>
      </w:pPr>
      <w:r>
        <w:rPr>
          <w:b/>
          <w:bCs/>
          <w:color w:val="2E75B6"/>
          <w:sz w:val="25"/>
          <w:szCs w:val="25"/>
        </w:rPr>
        <w:t xml:space="preserve">9.1 Integration with the Alerting System</w:t>
      </w:r>
    </w:p>
    <w:p>
      <w:pPr>
        <w:spacing w:after="160" w:line="276"/>
      </w:pPr>
      <w:r>
        <w:rPr>
          <w:sz w:val="21"/>
          <w:szCs w:val="21"/>
        </w:rPr>
        <w:t xml:space="preserve">Local detection events that breach the warning/critical threshold are treated as a first-class trigger path into the Alerting System's edge path (see SubSense Alerting System Technical Document, Section 2), enabling the on-ground siren/beacon to fire without a cloud round-trip. Once connectivity resumes, the same event is reconciled with the cloud AI/ML Intelligence Layer's assessment of the same window, and the Alerting System logs both the edge-triggered action and the cloud-confirmed classification for audit.</w:t>
      </w:r>
    </w:p>
    <w:p>
      <w:pPr>
        <w:pStyle w:val="Heading2"/>
        <w:spacing w:after="150" w:before="300"/>
      </w:pPr>
      <w:r>
        <w:rPr>
          <w:b/>
          <w:bCs/>
          <w:color w:val="2E75B6"/>
          <w:sz w:val="25"/>
          <w:szCs w:val="25"/>
        </w:rPr>
        <w:t xml:space="preserve">9.2 Integration with the Cloud AI/ML Intelligence Layer</w:t>
      </w:r>
    </w:p>
    <w:p>
      <w:pPr>
        <w:spacing w:after="160" w:line="276"/>
      </w:pPr>
      <w:r>
        <w:rPr>
          <w:sz w:val="21"/>
          <w:szCs w:val="21"/>
        </w:rPr>
        <w:t xml:space="preserve">The cloud layer remains the source of truth for training, the full GNN spatial-correlation model, LSTM progression forecasting, and the automatic false-alarm learning loop. The TinyML subsystem's role is strictly to provide a fast, connectivity-independent first pass; edge models are retrained/recompressed centrally whenever the cloud teacher models are updated by the feedback loop, keeping edge and cloud detection philosophy aligned over time.</w:t>
      </w:r>
    </w:p>
    <w:p>
      <w:pPr>
        <w:pStyle w:val="Heading2"/>
        <w:spacing w:after="150" w:before="300"/>
      </w:pPr>
      <w:r>
        <w:rPr>
          <w:b/>
          <w:bCs/>
          <w:color w:val="2E75B6"/>
          <w:sz w:val="25"/>
          <w:szCs w:val="25"/>
        </w:rPr>
        <w:t xml:space="preserve">9.3 Integration with Mesh Self-Health Reporting</w:t>
      </w:r>
    </w:p>
    <w:p>
      <w:pPr>
        <w:spacing w:after="160" w:line="276"/>
      </w:pPr>
      <w:r>
        <w:rPr>
          <w:sz w:val="21"/>
          <w:szCs w:val="21"/>
        </w:rPr>
        <w:t xml:space="preserve">Model version, last successful inference timestamp, and basic runtime health (e.g. inference failures, watchdog resets) are reported alongside existing battery/signal-strength telemetry, feeding the same predictive-maintenance mechanism used elsewhere in the platform.</w:t>
      </w:r>
    </w:p>
    <w:p>
      <w:pPr>
        <w:pStyle w:val="Heading1"/>
        <w:pBdr>
          <w:bottom w:val="single" w:color="1F3864" w:sz="6" w:space="4"/>
        </w:pBdr>
        <w:spacing w:after="200" w:before="400"/>
      </w:pPr>
      <w:r>
        <w:rPr>
          <w:b/>
          <w:bCs/>
          <w:color w:val="1F3864"/>
          <w:sz w:val="30"/>
          <w:szCs w:val="30"/>
        </w:rPr>
        <w:t xml:space="preserve">10. Failure Handling &amp; Safety Considerations</w:t>
      </w:r>
    </w:p>
    <w:p>
      <w:pPr>
        <w:pStyle w:val="ListParagraph"/>
        <w:numPr>
          <w:ilvl w:val="0"/>
          <w:numId w:val="2"/>
        </w:numPr>
        <w:spacing w:after="80"/>
      </w:pPr>
      <w:r>
        <w:rPr>
          <w:sz w:val="21"/>
          <w:szCs w:val="21"/>
        </w:rPr>
        <w:t xml:space="preserve">Inference runtime failure (crash, timeout, corrupted model) falls back to a simple, hard-coded threshold check on raw sensor values, so basic safety detection never fully disappears even if the ML pipeline itself is degraded.</w:t>
      </w:r>
    </w:p>
    <w:p>
      <w:pPr>
        <w:pStyle w:val="ListParagraph"/>
        <w:numPr>
          <w:ilvl w:val="0"/>
          <w:numId w:val="2"/>
        </w:numPr>
        <w:spacing w:after="80"/>
      </w:pPr>
      <w:r>
        <w:rPr>
          <w:sz w:val="21"/>
          <w:szCs w:val="21"/>
        </w:rPr>
        <w:t xml:space="preserve">A failed or corrupted OTA update never overwrites the last known-good model in place; the dual-slot rollback scheme (Section 7) guarantees a working model is always available.</w:t>
      </w:r>
    </w:p>
    <w:p>
      <w:pPr>
        <w:pStyle w:val="ListParagraph"/>
        <w:numPr>
          <w:ilvl w:val="0"/>
          <w:numId w:val="2"/>
        </w:numPr>
        <w:spacing w:after="80"/>
      </w:pPr>
      <w:r>
        <w:rPr>
          <w:sz w:val="21"/>
          <w:szCs w:val="21"/>
        </w:rPr>
        <w:t xml:space="preserve">Node-tier models are deliberately biased toward recall over precision for sudden-onset patterns, since a missed on-ground siren trigger is a more severe failure mode than an occasional false alarm at the edge.</w:t>
      </w:r>
    </w:p>
    <w:p>
      <w:pPr>
        <w:pStyle w:val="ListParagraph"/>
        <w:numPr>
          <w:ilvl w:val="0"/>
          <w:numId w:val="2"/>
        </w:numPr>
        <w:spacing w:after="80"/>
      </w:pPr>
      <w:r>
        <w:rPr>
          <w:sz w:val="21"/>
          <w:szCs w:val="21"/>
        </w:rPr>
        <w:t xml:space="preserve">Persistent disagreement between edge detections and cloud-confirmed assessments for the same site is surfaced as a data-quality/model-drift signal for the operations team, rather than silently ignored.</w:t>
      </w:r>
    </w:p>
    <w:p>
      <w:pPr>
        <w:pStyle w:val="Heading1"/>
        <w:pBdr>
          <w:bottom w:val="single" w:color="1F3864" w:sz="6" w:space="4"/>
        </w:pBdr>
        <w:spacing w:after="200" w:before="400"/>
      </w:pPr>
      <w:r>
        <w:rPr>
          <w:b/>
          <w:bCs/>
          <w:color w:val="1F3864"/>
          <w:sz w:val="30"/>
          <w:szCs w:val="30"/>
        </w:rPr>
        <w:t xml:space="preserve">11. Deployment &amp; Tooling</w:t>
      </w:r>
    </w:p>
    <w:p>
      <w:pPr>
        <w:spacing w:after="160" w:line="276"/>
      </w:pPr>
      <w:r>
        <w:rPr>
          <w:sz w:val="21"/>
          <w:szCs w:val="21"/>
        </w:rPr>
        <w:t xml:space="preserve">Recommended baseline toolchain: train and distil models in Python using standard ML frameworks; convert and quantize using an embedded-ML conversion toolchain suited to microcontroller deployment; validate using an on-device benchmarking harness; and distribute via the model registry and OTA mechanism described in Section 7. The gateway inference runtime and firmware are maintained in the same embedded codebase as the mesh and edge-buffering firmware referenced in the SubSense platform's Step 3 design, so releases are versioned and tested together.</w:t>
      </w:r>
    </w:p>
    <w:p>
      <w:pPr>
        <w:pStyle w:val="Heading1"/>
        <w:pBdr>
          <w:bottom w:val="single" w:color="1F3864" w:sz="6" w:space="4"/>
        </w:pBdr>
        <w:spacing w:after="200" w:before="400"/>
      </w:pPr>
      <w:r>
        <w:rPr>
          <w:b/>
          <w:bCs/>
          <w:color w:val="1F3864"/>
          <w:sz w:val="30"/>
          <w:szCs w:val="30"/>
        </w:rPr>
        <w:t xml:space="preserve">12. Traceability to Problem Statement</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4200"/>
        <w:gridCol w:w="4760"/>
      </w:tblGrid>
      <w:tr>
        <w:trPr>
          <w:tblHeader/>
        </w:trPr>
        <w:tc>
          <w:tcPr>
            <w:tcW w:type="dxa" w:w="4200"/>
            <w:shd w:fill="1F3864" w:val="clear"/>
            <w:tcMar>
              <w:top w:type="dxa" w:w="80"/>
              <w:left w:type="dxa" w:w="100"/>
              <w:bottom w:type="dxa" w:w="80"/>
              <w:right w:type="dxa" w:w="100"/>
            </w:tcMar>
            <w:vAlign w:val="center"/>
          </w:tcPr>
          <w:p>
            <w:pPr>
              <w:spacing w:after="0"/>
            </w:pPr>
            <w:r>
              <w:rPr>
                <w:b/>
                <w:bCs/>
                <w:color w:val="FFFFFF"/>
                <w:sz w:val="19"/>
                <w:szCs w:val="19"/>
              </w:rPr>
              <w:t xml:space="preserve">Problem Statement Feature</w:t>
            </w:r>
          </w:p>
        </w:tc>
        <w:tc>
          <w:tcPr>
            <w:tcW w:type="dxa" w:w="4760"/>
            <w:shd w:fill="1F3864" w:val="clear"/>
            <w:tcMar>
              <w:top w:type="dxa" w:w="80"/>
              <w:left w:type="dxa" w:w="100"/>
              <w:bottom w:type="dxa" w:w="80"/>
              <w:right w:type="dxa" w:w="100"/>
            </w:tcMar>
            <w:vAlign w:val="center"/>
          </w:tcPr>
          <w:p>
            <w:pPr>
              <w:spacing w:after="0"/>
            </w:pPr>
            <w:r>
              <w:rPr>
                <w:b/>
                <w:bCs/>
                <w:color w:val="FFFFFF"/>
                <w:sz w:val="19"/>
                <w:szCs w:val="19"/>
              </w:rPr>
              <w:t xml:space="preserve">Addressed In</w:t>
            </w:r>
          </w:p>
        </w:tc>
      </w:tr>
      <w:tr>
        <w:tc>
          <w:tcPr>
            <w:tcW w:type="dxa" w:w="4200"/>
            <w:tcMar>
              <w:top w:type="dxa" w:w="80"/>
              <w:left w:type="dxa" w:w="100"/>
              <w:bottom w:type="dxa" w:w="80"/>
              <w:right w:type="dxa" w:w="100"/>
            </w:tcMar>
            <w:vAlign w:val="center"/>
          </w:tcPr>
          <w:p>
            <w:pPr>
              <w:spacing w:after="0"/>
            </w:pPr>
            <w:r>
              <w:rPr>
                <w:sz w:val="19"/>
                <w:szCs w:val="19"/>
              </w:rPr>
              <w:t xml:space="preserve">TinyML on-device inference (uniqueness)</w:t>
            </w:r>
          </w:p>
        </w:tc>
        <w:tc>
          <w:tcPr>
            <w:tcW w:type="dxa" w:w="4760"/>
            <w:tcMar>
              <w:top w:type="dxa" w:w="80"/>
              <w:left w:type="dxa" w:w="100"/>
              <w:bottom w:type="dxa" w:w="80"/>
              <w:right w:type="dxa" w:w="100"/>
            </w:tcMar>
            <w:vAlign w:val="center"/>
          </w:tcPr>
          <w:p>
            <w:pPr>
              <w:spacing w:after="0"/>
            </w:pPr>
            <w:r>
              <w:rPr>
                <w:sz w:val="19"/>
                <w:szCs w:val="19"/>
              </w:rPr>
              <w:t xml:space="preserve">Sections 3–6</w:t>
            </w:r>
          </w:p>
        </w:tc>
      </w:tr>
      <w:tr>
        <w:tc>
          <w:tcPr>
            <w:tcW w:type="dxa" w:w="4200"/>
            <w:shd w:fill="F5F8FC" w:val="clear"/>
            <w:tcMar>
              <w:top w:type="dxa" w:w="80"/>
              <w:left w:type="dxa" w:w="100"/>
              <w:bottom w:type="dxa" w:w="80"/>
              <w:right w:type="dxa" w:w="100"/>
            </w:tcMar>
            <w:vAlign w:val="center"/>
          </w:tcPr>
          <w:p>
            <w:pPr>
              <w:spacing w:after="0"/>
            </w:pPr>
            <w:r>
              <w:rPr>
                <w:sz w:val="19"/>
                <w:szCs w:val="19"/>
              </w:rPr>
              <w:t xml:space="preserve">Gateway edge buffering &amp; on-device intelligence (baseline, Step 3)</w:t>
            </w:r>
          </w:p>
        </w:tc>
        <w:tc>
          <w:tcPr>
            <w:tcW w:type="dxa" w:w="4760"/>
            <w:shd w:fill="F5F8FC" w:val="clear"/>
            <w:tcMar>
              <w:top w:type="dxa" w:w="80"/>
              <w:left w:type="dxa" w:w="100"/>
              <w:bottom w:type="dxa" w:w="80"/>
              <w:right w:type="dxa" w:w="100"/>
            </w:tcMar>
            <w:vAlign w:val="center"/>
          </w:tcPr>
          <w:p>
            <w:pPr>
              <w:spacing w:after="0"/>
            </w:pPr>
            <w:r>
              <w:rPr>
                <w:sz w:val="19"/>
                <w:szCs w:val="19"/>
              </w:rPr>
              <w:t xml:space="preserve">Sections 2, 6, 10</w:t>
            </w:r>
          </w:p>
        </w:tc>
      </w:tr>
      <w:tr>
        <w:tc>
          <w:tcPr>
            <w:tcW w:type="dxa" w:w="4200"/>
            <w:tcMar>
              <w:top w:type="dxa" w:w="80"/>
              <w:left w:type="dxa" w:w="100"/>
              <w:bottom w:type="dxa" w:w="80"/>
              <w:right w:type="dxa" w:w="100"/>
            </w:tcMar>
            <w:vAlign w:val="center"/>
          </w:tcPr>
          <w:p>
            <w:pPr>
              <w:spacing w:after="0"/>
            </w:pPr>
            <w:r>
              <w:rPr>
                <w:sz w:val="19"/>
                <w:szCs w:val="19"/>
              </w:rPr>
              <w:t xml:space="preserve">Model updates pushed from the cloud once reconnected (baseline, Step 3)</w:t>
            </w:r>
          </w:p>
        </w:tc>
        <w:tc>
          <w:tcPr>
            <w:tcW w:type="dxa" w:w="4760"/>
            <w:tcMar>
              <w:top w:type="dxa" w:w="80"/>
              <w:left w:type="dxa" w:w="100"/>
              <w:bottom w:type="dxa" w:w="80"/>
              <w:right w:type="dxa" w:w="100"/>
            </w:tcMar>
            <w:vAlign w:val="center"/>
          </w:tcPr>
          <w:p>
            <w:pPr>
              <w:spacing w:after="0"/>
            </w:pPr>
            <w:r>
              <w:rPr>
                <w:sz w:val="19"/>
                <w:szCs w:val="19"/>
              </w:rPr>
              <w:t xml:space="preserve">Section 7</w:t>
            </w:r>
          </w:p>
        </w:tc>
      </w:tr>
      <w:tr>
        <w:tc>
          <w:tcPr>
            <w:tcW w:type="dxa" w:w="4200"/>
            <w:shd w:fill="F5F8FC" w:val="clear"/>
            <w:tcMar>
              <w:top w:type="dxa" w:w="80"/>
              <w:left w:type="dxa" w:w="100"/>
              <w:bottom w:type="dxa" w:w="80"/>
              <w:right w:type="dxa" w:w="100"/>
            </w:tcMar>
            <w:vAlign w:val="center"/>
          </w:tcPr>
          <w:p>
            <w:pPr>
              <w:spacing w:after="0"/>
            </w:pPr>
            <w:r>
              <w:rPr>
                <w:sz w:val="19"/>
                <w:szCs w:val="19"/>
              </w:rPr>
              <w:t xml:space="preserve">Onboard local siren/beacon (uniqueness)</w:t>
            </w:r>
          </w:p>
        </w:tc>
        <w:tc>
          <w:tcPr>
            <w:tcW w:type="dxa" w:w="4760"/>
            <w:shd w:fill="F5F8FC" w:val="clear"/>
            <w:tcMar>
              <w:top w:type="dxa" w:w="80"/>
              <w:left w:type="dxa" w:w="100"/>
              <w:bottom w:type="dxa" w:w="80"/>
              <w:right w:type="dxa" w:w="100"/>
            </w:tcMar>
            <w:vAlign w:val="center"/>
          </w:tcPr>
          <w:p>
            <w:pPr>
              <w:spacing w:after="0"/>
            </w:pPr>
            <w:r>
              <w:rPr>
                <w:sz w:val="19"/>
                <w:szCs w:val="19"/>
              </w:rPr>
              <w:t xml:space="preserve">Sections 2, 6.1, 9.1</w:t>
            </w:r>
          </w:p>
        </w:tc>
      </w:tr>
      <w:tr>
        <w:tc>
          <w:tcPr>
            <w:tcW w:type="dxa" w:w="4200"/>
            <w:tcMar>
              <w:top w:type="dxa" w:w="80"/>
              <w:left w:type="dxa" w:w="100"/>
              <w:bottom w:type="dxa" w:w="80"/>
              <w:right w:type="dxa" w:w="100"/>
            </w:tcMar>
            <w:vAlign w:val="center"/>
          </w:tcPr>
          <w:p>
            <w:pPr>
              <w:spacing w:after="0"/>
            </w:pPr>
            <w:r>
              <w:rPr>
                <w:sz w:val="19"/>
                <w:szCs w:val="19"/>
              </w:rPr>
              <w:t xml:space="preserve">Explainable, confidence-scored alerts (uniqueness)</w:t>
            </w:r>
          </w:p>
        </w:tc>
        <w:tc>
          <w:tcPr>
            <w:tcW w:type="dxa" w:w="4760"/>
            <w:tcMar>
              <w:top w:type="dxa" w:w="80"/>
              <w:left w:type="dxa" w:w="100"/>
              <w:bottom w:type="dxa" w:w="80"/>
              <w:right w:type="dxa" w:w="100"/>
            </w:tcMar>
            <w:vAlign w:val="center"/>
          </w:tcPr>
          <w:p>
            <w:pPr>
              <w:spacing w:after="0"/>
            </w:pPr>
            <w:r>
              <w:rPr>
                <w:sz w:val="19"/>
                <w:szCs w:val="19"/>
              </w:rPr>
              <w:t xml:space="preserve">Section 6.2</w:t>
            </w:r>
          </w:p>
        </w:tc>
      </w:tr>
      <w:tr>
        <w:tc>
          <w:tcPr>
            <w:tcW w:type="dxa" w:w="4200"/>
            <w:shd w:fill="F5F8FC" w:val="clear"/>
            <w:tcMar>
              <w:top w:type="dxa" w:w="80"/>
              <w:left w:type="dxa" w:w="100"/>
              <w:bottom w:type="dxa" w:w="80"/>
              <w:right w:type="dxa" w:w="100"/>
            </w:tcMar>
            <w:vAlign w:val="center"/>
          </w:tcPr>
          <w:p>
            <w:pPr>
              <w:spacing w:after="0"/>
            </w:pPr>
            <w:r>
              <w:rPr>
                <w:sz w:val="19"/>
                <w:szCs w:val="19"/>
              </w:rPr>
              <w:t xml:space="preserve">Mesh self-health &amp; predictive maintenance (uniqueness)</w:t>
            </w:r>
          </w:p>
        </w:tc>
        <w:tc>
          <w:tcPr>
            <w:tcW w:type="dxa" w:w="4760"/>
            <w:shd w:fill="F5F8FC" w:val="clear"/>
            <w:tcMar>
              <w:top w:type="dxa" w:w="80"/>
              <w:left w:type="dxa" w:w="100"/>
              <w:bottom w:type="dxa" w:w="80"/>
              <w:right w:type="dxa" w:w="100"/>
            </w:tcMar>
            <w:vAlign w:val="center"/>
          </w:tcPr>
          <w:p>
            <w:pPr>
              <w:spacing w:after="0"/>
            </w:pPr>
            <w:r>
              <w:rPr>
                <w:sz w:val="19"/>
                <w:szCs w:val="19"/>
              </w:rPr>
              <w:t xml:space="preserve">Section 9.3</w:t>
            </w:r>
          </w:p>
        </w:tc>
      </w:tr>
      <w:tr>
        <w:tc>
          <w:tcPr>
            <w:tcW w:type="dxa" w:w="4200"/>
            <w:tcMar>
              <w:top w:type="dxa" w:w="80"/>
              <w:left w:type="dxa" w:w="100"/>
              <w:bottom w:type="dxa" w:w="80"/>
              <w:right w:type="dxa" w:w="100"/>
            </w:tcMar>
            <w:vAlign w:val="center"/>
          </w:tcPr>
          <w:p>
            <w:pPr>
              <w:spacing w:after="0"/>
            </w:pPr>
            <w:r>
              <w:rPr>
                <w:sz w:val="19"/>
                <w:szCs w:val="19"/>
              </w:rPr>
              <w:t xml:space="preserve">Automatic false-alarm learning loop (uniqueness)</w:t>
            </w:r>
          </w:p>
        </w:tc>
        <w:tc>
          <w:tcPr>
            <w:tcW w:type="dxa" w:w="4760"/>
            <w:tcMar>
              <w:top w:type="dxa" w:w="80"/>
              <w:left w:type="dxa" w:w="100"/>
              <w:bottom w:type="dxa" w:w="80"/>
              <w:right w:type="dxa" w:w="100"/>
            </w:tcMar>
            <w:vAlign w:val="center"/>
          </w:tcPr>
          <w:p>
            <w:pPr>
              <w:spacing w:after="0"/>
            </w:pPr>
            <w:r>
              <w:rPr>
                <w:sz w:val="19"/>
                <w:szCs w:val="19"/>
              </w:rPr>
              <w:t xml:space="preserve">Section 9.2</w:t>
            </w:r>
          </w:p>
        </w:tc>
      </w:tr>
      <w:tr>
        <w:tc>
          <w:tcPr>
            <w:tcW w:type="dxa" w:w="4200"/>
            <w:shd w:fill="F5F8FC" w:val="clear"/>
            <w:tcMar>
              <w:top w:type="dxa" w:w="80"/>
              <w:left w:type="dxa" w:w="100"/>
              <w:bottom w:type="dxa" w:w="80"/>
              <w:right w:type="dxa" w:w="100"/>
            </w:tcMar>
            <w:vAlign w:val="center"/>
          </w:tcPr>
          <w:p>
            <w:pPr>
              <w:spacing w:after="0"/>
            </w:pPr>
            <w:r>
              <w:rPr>
                <w:sz w:val="19"/>
                <w:szCs w:val="19"/>
              </w:rPr>
              <w:t xml:space="preserve">Configurable sampling rate (baseline)</w:t>
            </w:r>
          </w:p>
        </w:tc>
        <w:tc>
          <w:tcPr>
            <w:tcW w:type="dxa" w:w="4760"/>
            <w:shd w:fill="F5F8FC" w:val="clear"/>
            <w:tcMar>
              <w:top w:type="dxa" w:w="80"/>
              <w:left w:type="dxa" w:w="100"/>
              <w:bottom w:type="dxa" w:w="80"/>
              <w:right w:type="dxa" w:w="100"/>
            </w:tcMar>
            <w:vAlign w:val="center"/>
          </w:tcPr>
          <w:p>
            <w:pPr>
              <w:spacing w:after="0"/>
            </w:pPr>
            <w:r>
              <w:rPr>
                <w:sz w:val="19"/>
                <w:szCs w:val="19"/>
              </w:rPr>
              <w:t xml:space="preserve">Section 5</w:t>
            </w:r>
          </w:p>
        </w:tc>
      </w:tr>
      <w:tr>
        <w:tc>
          <w:tcPr>
            <w:tcW w:type="dxa" w:w="4200"/>
            <w:tcMar>
              <w:top w:type="dxa" w:w="80"/>
              <w:left w:type="dxa" w:w="100"/>
              <w:bottom w:type="dxa" w:w="80"/>
              <w:right w:type="dxa" w:w="100"/>
            </w:tcMar>
            <w:vAlign w:val="center"/>
          </w:tcPr>
          <w:p>
            <w:pPr>
              <w:spacing w:after="0"/>
            </w:pPr>
            <w:r>
              <w:rPr>
                <w:sz w:val="19"/>
                <w:szCs w:val="19"/>
              </w:rPr>
              <w:t xml:space="preserve">Cross-sensor, cross-node correlation (baseline)</w:t>
            </w:r>
          </w:p>
        </w:tc>
        <w:tc>
          <w:tcPr>
            <w:tcW w:type="dxa" w:w="4760"/>
            <w:tcMar>
              <w:top w:type="dxa" w:w="80"/>
              <w:left w:type="dxa" w:w="100"/>
              <w:bottom w:type="dxa" w:w="80"/>
              <w:right w:type="dxa" w:w="100"/>
            </w:tcMar>
            <w:vAlign w:val="center"/>
          </w:tcPr>
          <w:p>
            <w:pPr>
              <w:spacing w:after="0"/>
            </w:pPr>
            <w:r>
              <w:rPr>
                <w:sz w:val="19"/>
                <w:szCs w:val="19"/>
              </w:rPr>
              <w:t xml:space="preserve">Section 3.3 (feature design); full correlation remains cloud-side, Section 9.2</w:t>
            </w:r>
          </w:p>
        </w:tc>
      </w:tr>
    </w:tbl>
    <w:p>
      <w:pPr>
        <w:pStyle w:val="Heading1"/>
        <w:pBdr>
          <w:bottom w:val="single" w:color="1F3864" w:sz="6" w:space="4"/>
        </w:pBdr>
        <w:spacing w:after="200" w:before="400"/>
      </w:pPr>
      <w:r>
        <w:rPr>
          <w:b/>
          <w:bCs/>
          <w:color w:val="1F3864"/>
          <w:sz w:val="30"/>
          <w:szCs w:val="30"/>
        </w:rPr>
        <w:t xml:space="preserve">13. Glossary</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200"/>
        <w:gridCol w:w="6760"/>
      </w:tblGrid>
      <w:tr>
        <w:trPr>
          <w:tblHeader/>
        </w:trPr>
        <w:tc>
          <w:tcPr>
            <w:tcW w:type="dxa" w:w="2200"/>
            <w:shd w:fill="1F3864" w:val="clear"/>
            <w:tcMar>
              <w:top w:type="dxa" w:w="80"/>
              <w:left w:type="dxa" w:w="100"/>
              <w:bottom w:type="dxa" w:w="80"/>
              <w:right w:type="dxa" w:w="100"/>
            </w:tcMar>
            <w:vAlign w:val="center"/>
          </w:tcPr>
          <w:p>
            <w:pPr>
              <w:spacing w:after="0"/>
            </w:pPr>
            <w:r>
              <w:rPr>
                <w:b/>
                <w:bCs/>
                <w:color w:val="FFFFFF"/>
                <w:sz w:val="19"/>
                <w:szCs w:val="19"/>
              </w:rPr>
              <w:t xml:space="preserve">Term</w:t>
            </w:r>
          </w:p>
        </w:tc>
        <w:tc>
          <w:tcPr>
            <w:tcW w:type="dxa" w:w="6760"/>
            <w:shd w:fill="1F3864" w:val="clear"/>
            <w:tcMar>
              <w:top w:type="dxa" w:w="80"/>
              <w:left w:type="dxa" w:w="100"/>
              <w:bottom w:type="dxa" w:w="80"/>
              <w:right w:type="dxa" w:w="100"/>
            </w:tcMar>
            <w:vAlign w:val="center"/>
          </w:tcPr>
          <w:p>
            <w:pPr>
              <w:spacing w:after="0"/>
            </w:pPr>
            <w:r>
              <w:rPr>
                <w:b/>
                <w:bCs/>
                <w:color w:val="FFFFFF"/>
                <w:sz w:val="19"/>
                <w:szCs w:val="19"/>
              </w:rPr>
              <w:t xml:space="preserve">Definition</w:t>
            </w:r>
          </w:p>
        </w:tc>
      </w:tr>
      <w:tr>
        <w:tc>
          <w:tcPr>
            <w:tcW w:type="dxa" w:w="2200"/>
            <w:tcMar>
              <w:top w:type="dxa" w:w="80"/>
              <w:left w:type="dxa" w:w="100"/>
              <w:bottom w:type="dxa" w:w="80"/>
              <w:right w:type="dxa" w:w="100"/>
            </w:tcMar>
            <w:vAlign w:val="center"/>
          </w:tcPr>
          <w:p>
            <w:pPr>
              <w:spacing w:after="0"/>
            </w:pPr>
            <w:r>
              <w:rPr>
                <w:sz w:val="19"/>
                <w:szCs w:val="19"/>
              </w:rPr>
              <w:t xml:space="preserve">TinyML</w:t>
            </w:r>
          </w:p>
        </w:tc>
        <w:tc>
          <w:tcPr>
            <w:tcW w:type="dxa" w:w="6760"/>
            <w:tcMar>
              <w:top w:type="dxa" w:w="80"/>
              <w:left w:type="dxa" w:w="100"/>
              <w:bottom w:type="dxa" w:w="80"/>
              <w:right w:type="dxa" w:w="100"/>
            </w:tcMar>
            <w:vAlign w:val="center"/>
          </w:tcPr>
          <w:p>
            <w:pPr>
              <w:spacing w:after="0"/>
            </w:pPr>
            <w:r>
              <w:rPr>
                <w:sz w:val="19"/>
                <w:szCs w:val="19"/>
              </w:rPr>
              <w:t xml:space="preserve">Machine learning models optimized to run on low-power embedded hardware (e.g. ESP32-class MCUs).</w:t>
            </w:r>
          </w:p>
        </w:tc>
      </w:tr>
      <w:tr>
        <w:tc>
          <w:tcPr>
            <w:tcW w:type="dxa" w:w="2200"/>
            <w:shd w:fill="F5F8FC" w:val="clear"/>
            <w:tcMar>
              <w:top w:type="dxa" w:w="80"/>
              <w:left w:type="dxa" w:w="100"/>
              <w:bottom w:type="dxa" w:w="80"/>
              <w:right w:type="dxa" w:w="100"/>
            </w:tcMar>
            <w:vAlign w:val="center"/>
          </w:tcPr>
          <w:p>
            <w:pPr>
              <w:spacing w:after="0"/>
            </w:pPr>
            <w:r>
              <w:rPr>
                <w:sz w:val="19"/>
                <w:szCs w:val="19"/>
              </w:rPr>
              <w:t xml:space="preserve">Quantization</w:t>
            </w:r>
          </w:p>
        </w:tc>
        <w:tc>
          <w:tcPr>
            <w:tcW w:type="dxa" w:w="6760"/>
            <w:shd w:fill="F5F8FC" w:val="clear"/>
            <w:tcMar>
              <w:top w:type="dxa" w:w="80"/>
              <w:left w:type="dxa" w:w="100"/>
              <w:bottom w:type="dxa" w:w="80"/>
              <w:right w:type="dxa" w:w="100"/>
            </w:tcMar>
            <w:vAlign w:val="center"/>
          </w:tcPr>
          <w:p>
            <w:pPr>
              <w:spacing w:after="0"/>
            </w:pPr>
            <w:r>
              <w:rPr>
                <w:sz w:val="19"/>
                <w:szCs w:val="19"/>
              </w:rPr>
              <w:t xml:space="preserve">Reducing numeric precision of model weights/activations (e.g. float32 → INT8) to shrink size and speed up inference.</w:t>
            </w:r>
          </w:p>
        </w:tc>
      </w:tr>
      <w:tr>
        <w:tc>
          <w:tcPr>
            <w:tcW w:type="dxa" w:w="2200"/>
            <w:tcMar>
              <w:top w:type="dxa" w:w="80"/>
              <w:left w:type="dxa" w:w="100"/>
              <w:bottom w:type="dxa" w:w="80"/>
              <w:right w:type="dxa" w:w="100"/>
            </w:tcMar>
            <w:vAlign w:val="center"/>
          </w:tcPr>
          <w:p>
            <w:pPr>
              <w:spacing w:after="0"/>
            </w:pPr>
            <w:r>
              <w:rPr>
                <w:sz w:val="19"/>
                <w:szCs w:val="19"/>
              </w:rPr>
              <w:t xml:space="preserve">Knowledge distillation</w:t>
            </w:r>
          </w:p>
        </w:tc>
        <w:tc>
          <w:tcPr>
            <w:tcW w:type="dxa" w:w="6760"/>
            <w:tcMar>
              <w:top w:type="dxa" w:w="80"/>
              <w:left w:type="dxa" w:w="100"/>
              <w:bottom w:type="dxa" w:w="80"/>
              <w:right w:type="dxa" w:w="100"/>
            </w:tcMar>
            <w:vAlign w:val="center"/>
          </w:tcPr>
          <w:p>
            <w:pPr>
              <w:spacing w:after="0"/>
            </w:pPr>
            <w:r>
              <w:rPr>
                <w:sz w:val="19"/>
                <w:szCs w:val="19"/>
              </w:rPr>
              <w:t xml:space="preserve">Training a small “student” model to mimic a larger “teacher” model's behaviour.</w:t>
            </w:r>
          </w:p>
        </w:tc>
      </w:tr>
      <w:tr>
        <w:tc>
          <w:tcPr>
            <w:tcW w:type="dxa" w:w="2200"/>
            <w:shd w:fill="F5F8FC" w:val="clear"/>
            <w:tcMar>
              <w:top w:type="dxa" w:w="80"/>
              <w:left w:type="dxa" w:w="100"/>
              <w:bottom w:type="dxa" w:w="80"/>
              <w:right w:type="dxa" w:w="100"/>
            </w:tcMar>
            <w:vAlign w:val="center"/>
          </w:tcPr>
          <w:p>
            <w:pPr>
              <w:spacing w:after="0"/>
            </w:pPr>
            <w:r>
              <w:rPr>
                <w:sz w:val="19"/>
                <w:szCs w:val="19"/>
              </w:rPr>
              <w:t xml:space="preserve">Pruning</w:t>
            </w:r>
          </w:p>
        </w:tc>
        <w:tc>
          <w:tcPr>
            <w:tcW w:type="dxa" w:w="6760"/>
            <w:shd w:fill="F5F8FC" w:val="clear"/>
            <w:tcMar>
              <w:top w:type="dxa" w:w="80"/>
              <w:left w:type="dxa" w:w="100"/>
              <w:bottom w:type="dxa" w:w="80"/>
              <w:right w:type="dxa" w:w="100"/>
            </w:tcMar>
            <w:vAlign w:val="center"/>
          </w:tcPr>
          <w:p>
            <w:pPr>
              <w:spacing w:after="0"/>
            </w:pPr>
            <w:r>
              <w:rPr>
                <w:sz w:val="19"/>
                <w:szCs w:val="19"/>
              </w:rPr>
              <w:t xml:space="preserve">Removing low-importance weights/connections from a trained network to reduce its size.</w:t>
            </w:r>
          </w:p>
        </w:tc>
      </w:tr>
      <w:tr>
        <w:tc>
          <w:tcPr>
            <w:tcW w:type="dxa" w:w="2200"/>
            <w:tcMar>
              <w:top w:type="dxa" w:w="80"/>
              <w:left w:type="dxa" w:w="100"/>
              <w:bottom w:type="dxa" w:w="80"/>
              <w:right w:type="dxa" w:w="100"/>
            </w:tcMar>
            <w:vAlign w:val="center"/>
          </w:tcPr>
          <w:p>
            <w:pPr>
              <w:spacing w:after="0"/>
            </w:pPr>
            <w:r>
              <w:rPr>
                <w:sz w:val="19"/>
                <w:szCs w:val="19"/>
              </w:rPr>
              <w:t xml:space="preserve">OTA</w:t>
            </w:r>
          </w:p>
        </w:tc>
        <w:tc>
          <w:tcPr>
            <w:tcW w:type="dxa" w:w="6760"/>
            <w:tcMar>
              <w:top w:type="dxa" w:w="80"/>
              <w:left w:type="dxa" w:w="100"/>
              <w:bottom w:type="dxa" w:w="80"/>
              <w:right w:type="dxa" w:w="100"/>
            </w:tcMar>
            <w:vAlign w:val="center"/>
          </w:tcPr>
          <w:p>
            <w:pPr>
              <w:spacing w:after="0"/>
            </w:pPr>
            <w:r>
              <w:rPr>
                <w:sz w:val="19"/>
                <w:szCs w:val="19"/>
              </w:rPr>
              <w:t xml:space="preserve">Over-The-Air update — remotely pushing new firmware/model versions to deployed hardware.</w:t>
            </w:r>
          </w:p>
        </w:tc>
      </w:tr>
      <w:tr>
        <w:tc>
          <w:tcPr>
            <w:tcW w:type="dxa" w:w="2200"/>
            <w:shd w:fill="F5F8FC" w:val="clear"/>
            <w:tcMar>
              <w:top w:type="dxa" w:w="80"/>
              <w:left w:type="dxa" w:w="100"/>
              <w:bottom w:type="dxa" w:w="80"/>
              <w:right w:type="dxa" w:w="100"/>
            </w:tcMar>
            <w:vAlign w:val="center"/>
          </w:tcPr>
          <w:p>
            <w:pPr>
              <w:spacing w:after="0"/>
            </w:pPr>
            <w:r>
              <w:rPr>
                <w:sz w:val="19"/>
                <w:szCs w:val="19"/>
              </w:rPr>
              <w:t xml:space="preserve">MCU</w:t>
            </w:r>
          </w:p>
        </w:tc>
        <w:tc>
          <w:tcPr>
            <w:tcW w:type="dxa" w:w="6760"/>
            <w:shd w:fill="F5F8FC" w:val="clear"/>
            <w:tcMar>
              <w:top w:type="dxa" w:w="80"/>
              <w:left w:type="dxa" w:w="100"/>
              <w:bottom w:type="dxa" w:w="80"/>
              <w:right w:type="dxa" w:w="100"/>
            </w:tcMar>
            <w:vAlign w:val="center"/>
          </w:tcPr>
          <w:p>
            <w:pPr>
              <w:spacing w:after="0"/>
            </w:pPr>
            <w:r>
              <w:rPr>
                <w:sz w:val="19"/>
                <w:szCs w:val="19"/>
              </w:rPr>
              <w:t xml:space="preserve">Microcontroller Unit — the embedded processor class used on sensor nodes/gateways (e.g. ESP32, Arduino).</w:t>
            </w:r>
          </w:p>
        </w:tc>
      </w:tr>
      <w:tr>
        <w:tc>
          <w:tcPr>
            <w:tcW w:type="dxa" w:w="2200"/>
            <w:tcMar>
              <w:top w:type="dxa" w:w="80"/>
              <w:left w:type="dxa" w:w="100"/>
              <w:bottom w:type="dxa" w:w="80"/>
              <w:right w:type="dxa" w:w="100"/>
            </w:tcMar>
            <w:vAlign w:val="center"/>
          </w:tcPr>
          <w:p>
            <w:pPr>
              <w:spacing w:after="0"/>
            </w:pPr>
            <w:r>
              <w:rPr>
                <w:sz w:val="19"/>
                <w:szCs w:val="19"/>
              </w:rPr>
              <w:t xml:space="preserve">GNN</w:t>
            </w:r>
          </w:p>
        </w:tc>
        <w:tc>
          <w:tcPr>
            <w:tcW w:type="dxa" w:w="6760"/>
            <w:tcMar>
              <w:top w:type="dxa" w:w="80"/>
              <w:left w:type="dxa" w:w="100"/>
              <w:bottom w:type="dxa" w:w="80"/>
              <w:right w:type="dxa" w:w="100"/>
            </w:tcMar>
            <w:vAlign w:val="center"/>
          </w:tcPr>
          <w:p>
            <w:pPr>
              <w:spacing w:after="0"/>
            </w:pPr>
            <w:r>
              <w:rPr>
                <w:sz w:val="19"/>
                <w:szCs w:val="19"/>
              </w:rPr>
              <w:t xml:space="preserve">Graph Neural Network; used in the cloud-side spatial-correlation model this subsystem complements.</w:t>
            </w:r>
          </w:p>
        </w:tc>
      </w:tr>
    </w:tbl>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Confidential — Prepared for Smart India Hackathon Submission | 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i/>
        <w:iCs/>
        <w:color w:val="595959"/>
        <w:sz w:val="16"/>
        <w:szCs w:val="16"/>
      </w:rPr>
      <w:t xml:space="preserve">SubSense — TinyML On-Device Inference Technical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2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2026-09-09T03:45:55.538Z</dcterms:created>
  <dcterms:modified xsi:type="dcterms:W3CDTF">2026-09-09T03:45:55.548Z</dcterms:modified>
</cp:coreProperties>
</file>

<file path=docProps/custom.xml><?xml version="1.0" encoding="utf-8"?>
<Properties xmlns="http://schemas.openxmlformats.org/officeDocument/2006/custom-properties" xmlns:vt="http://schemas.openxmlformats.org/officeDocument/2006/docPropsVTypes"/>
</file>