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A5C"/>
          <w:sz w:val="48"/>
          <w:szCs w:val="48"/>
        </w:rPr>
        <w:t xml:space="preserve">SECURITY ASSESSMENT REPORT</w:t>
      </w:r>
    </w:p>
    <w:p>
      <w:pPr>
        <w:spacing w:after="100"/>
        <w:jc w:val="center"/>
      </w:pPr>
      <w:r>
        <w:rPr>
          <w:rFonts w:ascii="Arial" w:cs="Arial" w:eastAsia="Arial" w:hAnsi="Arial"/>
          <w:color w:val="2E5984"/>
          <w:sz w:val="36"/>
          <w:szCs w:val="36"/>
        </w:rPr>
        <w:t xml:space="preserve">Cybersecurity AI Agent</w:t>
      </w:r>
    </w:p>
    <w:p>
      <w:pPr>
        <w:spacing w:after="100"/>
        <w:jc w:val="center"/>
      </w:pPr>
      <w:r>
        <w:rPr>
          <w:rFonts w:ascii="Arial" w:cs="Arial" w:eastAsia="Arial" w:hAnsi="Arial"/>
          <w:color w:val="666666"/>
          <w:sz w:val="28"/>
          <w:szCs w:val="28"/>
        </w:rPr>
        <w:t xml:space="preserve">Multi-Device Windows LTSC Deployment</w:t>
      </w:r>
    </w:p>
    <w:p>
      <w:pPr>
        <w:pBdr>
          <w:bottom w:val="single" w:color="1B3A5C" w:sz="6" w:space="1"/>
        </w:pBdr>
        <w:spacing w:after="400"/>
        <w:jc w:val="center"/>
      </w:pPr>
    </w:p>
    <w:p>
      <w:pPr>
        <w:spacing w:after="100"/>
        <w:jc w:val="center"/>
      </w:pPr>
      <w:r>
        <w:rPr>
          <w:rFonts w:ascii="Arial" w:cs="Arial" w:eastAsia="Arial" w:hAnsi="Arial"/>
          <w:color w:val="666666"/>
          <w:sz w:val="24"/>
          <w:szCs w:val="24"/>
        </w:rPr>
        <w:t xml:space="preserve">Version 2.1.0</w:t>
      </w:r>
    </w:p>
    <w:p>
      <w:pPr>
        <w:spacing w:after="100"/>
        <w:jc w:val="center"/>
      </w:pPr>
      <w:r>
        <w:rPr>
          <w:rFonts w:ascii="Arial" w:cs="Arial" w:eastAsia="Arial" w:hAnsi="Arial"/>
          <w:color w:val="666666"/>
          <w:sz w:val="24"/>
          <w:szCs w:val="24"/>
        </w:rPr>
        <w:t xml:space="preserve">Date: July 5, 2026</w:t>
      </w:r>
    </w:p>
    <w:p>
      <w:pPr>
        <w:spacing w:after="100"/>
        <w:jc w:val="center"/>
      </w:pPr>
      <w:r>
        <w:rPr>
          <w:rFonts w:ascii="Arial" w:cs="Arial" w:eastAsia="Arial" w:hAnsi="Arial"/>
          <w:b/>
          <w:bCs/>
          <w:color w:val="CC0000"/>
          <w:sz w:val="24"/>
          <w:szCs w:val="24"/>
        </w:rPr>
        <w:t xml:space="preserve">Classification: CONFIDENTIAL</w:t>
      </w:r>
    </w:p>
    <w:p>
      <w:pPr>
        <w:sectPr>
          <w:pgSz w:w="12240" w:h="15840" w:orient="portrait"/>
          <w:pgMar w:top="1440" w:right="1440" w:bottom="1440" w:left="1440" w:header="708" w:footer="708" w:gutter="0"/>
          <w:pgNumType/>
          <w:docGrid w:linePitch="360"/>
        </w:sectPr>
      </w:pPr>
    </w:p>
    <w:p>
      <w:pPr>
        <w:pStyle w:val="Heading1"/>
        <w:spacing w:after="120" w:before="240"/>
      </w:pPr>
      <w:r>
        <w:rPr>
          <w:rFonts w:ascii="Arial" w:cs="Arial" w:eastAsia="Arial" w:hAnsi="Arial"/>
          <w:b/>
          <w:bCs/>
          <w:sz w:val="32"/>
          <w:szCs w:val="32"/>
        </w:rPr>
        <w:t xml:space="preserve">1. Executive Summary</w:t>
      </w:r>
    </w:p>
    <w:p>
      <w:pPr>
        <w:spacing w:after="120"/>
      </w:pPr>
      <w:r>
        <w:rPr>
          <w:rFonts w:ascii="Arial" w:cs="Arial" w:eastAsia="Arial" w:hAnsi="Arial"/>
          <w:sz w:val="22"/>
          <w:szCs w:val="22"/>
        </w:rPr>
        <w:t xml:space="preserve">This report presents the security assessment findings for the Cybersecurity AI Agent, a Python-based security analysis platform built on Claude (Anthropic), LangGraph, and FastAPI. The assessment covers the agent’s deployment architecture across multiple Windows LTSC devices on separate networks, evaluating authentication, transport security, input validation, and operational security controls.</w:t>
      </w:r>
    </w:p>
    <w:p>
      <w:pPr>
        <w:spacing w:after="120"/>
      </w:pPr>
      <w:r>
        <w:rPr>
          <w:rFonts w:ascii="Arial" w:cs="Arial" w:eastAsia="Arial" w:hAnsi="Arial"/>
          <w:sz w:val="22"/>
          <w:szCs w:val="22"/>
        </w:rPr>
        <w:t xml:space="preserve">The agent provides CLI, REST API, and web dashboard interfaces for vulnerability research, network reconnaissance, threat intelligence, log analysis, and security assessment. It integrates 762 cybersecurity skills from the Anthropic-Cybersecurity-Skills library.</w:t>
      </w:r>
    </w:p>
    <w:p>
      <w:pPr>
        <w:spacing w:after="120"/>
      </w:pPr>
      <w:r>
        <w:rPr>
          <w:rFonts w:ascii="Arial" w:cs="Arial" w:eastAsia="Arial" w:hAnsi="Arial"/>
          <w:b/>
          <w:bCs/>
          <w:sz w:val="22"/>
          <w:szCs w:val="22"/>
        </w:rPr>
        <w:t xml:space="preserve">Overall Risk Rating: MEDIUM — All critical and high-severity issues identified during the initial review have been remediated. Residual risks are medium or low severity and relate primarily to deployment-dependent configurations rather than code-level vulnerabilities.</w:t>
      </w:r>
    </w:p>
    <w:p>
      <w:pPr>
        <w:pStyle w:val="Heading1"/>
        <w:spacing w:after="120" w:before="240"/>
      </w:pPr>
      <w:r>
        <w:rPr>
          <w:rFonts w:ascii="Arial" w:cs="Arial" w:eastAsia="Arial" w:hAnsi="Arial"/>
          <w:b/>
          <w:bCs/>
          <w:sz w:val="32"/>
          <w:szCs w:val="32"/>
        </w:rPr>
        <w:t xml:space="preserve">2. Assessment Scope</w:t>
      </w:r>
    </w:p>
    <w:p>
      <w:pPr>
        <w:pStyle w:val="Heading2"/>
        <w:spacing w:after="120" w:before="240"/>
      </w:pPr>
      <w:r>
        <w:rPr>
          <w:rFonts w:ascii="Arial" w:cs="Arial" w:eastAsia="Arial" w:hAnsi="Arial"/>
          <w:b/>
          <w:bCs/>
          <w:sz w:val="28"/>
          <w:szCs w:val="28"/>
        </w:rPr>
        <w:t xml:space="preserve">2.1 Components Assessed</w:t>
      </w:r>
    </w:p>
    <w:p>
      <w:pPr>
        <w:pStyle w:val="ListParagraph"/>
        <w:numPr>
          <w:ilvl w:val="0"/>
          <w:numId w:val="2"/>
        </w:numPr>
      </w:pPr>
      <w:r>
        <w:rPr>
          <w:rFonts w:ascii="Arial" w:cs="Arial" w:eastAsia="Arial" w:hAnsi="Arial"/>
          <w:sz w:val="22"/>
          <w:szCs w:val="22"/>
        </w:rPr>
        <w:t xml:space="preserve">Core Agent: LangGraph state machine with Claude LLM integration (agent/graph.py, agent/state.py, agent/prompts.py)</w:t>
      </w:r>
    </w:p>
    <w:p>
      <w:pPr>
        <w:pStyle w:val="ListParagraph"/>
        <w:numPr>
          <w:ilvl w:val="0"/>
          <w:numId w:val="2"/>
        </w:numPr>
      </w:pPr>
      <w:r>
        <w:rPr>
          <w:rFonts w:ascii="Arial" w:cs="Arial" w:eastAsia="Arial" w:hAnsi="Arial"/>
          <w:sz w:val="22"/>
          <w:szCs w:val="22"/>
        </w:rPr>
        <w:t xml:space="preserve">Skills Loader: Dynamic indexing of 762 cybersecurity skill files (agent/skills_loader.py)</w:t>
      </w:r>
    </w:p>
    <w:p>
      <w:pPr>
        <w:pStyle w:val="ListParagraph"/>
        <w:numPr>
          <w:ilvl w:val="0"/>
          <w:numId w:val="2"/>
        </w:numPr>
      </w:pPr>
      <w:r>
        <w:rPr>
          <w:rFonts w:ascii="Arial" w:cs="Arial" w:eastAsia="Arial" w:hAnsi="Arial"/>
          <w:sz w:val="22"/>
          <w:szCs w:val="22"/>
        </w:rPr>
        <w:t xml:space="preserve">REST API: FastAPI server with 9 secured endpoints (api.py)</w:t>
      </w:r>
    </w:p>
    <w:p>
      <w:pPr>
        <w:pStyle w:val="ListParagraph"/>
        <w:numPr>
          <w:ilvl w:val="0"/>
          <w:numId w:val="2"/>
        </w:numPr>
      </w:pPr>
      <w:r>
        <w:rPr>
          <w:rFonts w:ascii="Arial" w:cs="Arial" w:eastAsia="Arial" w:hAnsi="Arial"/>
          <w:sz w:val="22"/>
          <w:szCs w:val="22"/>
        </w:rPr>
        <w:t xml:space="preserve">CLI Interface: Typer/Rich interactive shell (cli.py)</w:t>
      </w:r>
    </w:p>
    <w:p>
      <w:pPr>
        <w:pStyle w:val="ListParagraph"/>
        <w:numPr>
          <w:ilvl w:val="0"/>
          <w:numId w:val="2"/>
        </w:numPr>
      </w:pPr>
      <w:r>
        <w:rPr>
          <w:rFonts w:ascii="Arial" w:cs="Arial" w:eastAsia="Arial" w:hAnsi="Arial"/>
          <w:sz w:val="22"/>
          <w:szCs w:val="22"/>
        </w:rPr>
        <w:t xml:space="preserve">Web Dashboard: Single-page HTML dashboard (web/index.html)</w:t>
      </w:r>
    </w:p>
    <w:p>
      <w:pPr>
        <w:pStyle w:val="ListParagraph"/>
        <w:numPr>
          <w:ilvl w:val="0"/>
          <w:numId w:val="2"/>
        </w:numPr>
      </w:pPr>
      <w:r>
        <w:rPr>
          <w:rFonts w:ascii="Arial" w:cs="Arial" w:eastAsia="Arial" w:hAnsi="Arial"/>
          <w:sz w:val="22"/>
          <w:szCs w:val="22"/>
        </w:rPr>
        <w:t xml:space="preserve">Security Tools: Port scanner, CVE lookup, DNS recon, IP reputation, log analyzer, hash checker, WHOIS, geolocation</w:t>
      </w:r>
    </w:p>
    <w:p>
      <w:pPr>
        <w:pStyle w:val="ListParagraph"/>
        <w:numPr>
          <w:ilvl w:val="0"/>
          <w:numId w:val="2"/>
        </w:numPr>
      </w:pPr>
      <w:r>
        <w:rPr>
          <w:rFonts w:ascii="Arial" w:cs="Arial" w:eastAsia="Arial" w:hAnsi="Arial"/>
          <w:sz w:val="22"/>
          <w:szCs w:val="22"/>
        </w:rPr>
        <w:t xml:space="preserve">Deployment Scripts: setup.bat, start-cli.bat, start-web.bat, deploy-server.bat, deploy-client.bat</w:t>
      </w:r>
    </w:p>
    <w:p>
      <w:pPr>
        <w:pStyle w:val="ListParagraph"/>
        <w:numPr>
          <w:ilvl w:val="0"/>
          <w:numId w:val="2"/>
        </w:numPr>
      </w:pPr>
      <w:r>
        <w:rPr>
          <w:rFonts w:ascii="Arial" w:cs="Arial" w:eastAsia="Arial" w:hAnsi="Arial"/>
          <w:sz w:val="22"/>
          <w:szCs w:val="22"/>
        </w:rPr>
        <w:t xml:space="preserve">TLS Certificate Generator: Self-signed cert generation with SAN support (generate_certs.py)</w:t>
      </w:r>
    </w:p>
    <w:p>
      <w:pPr>
        <w:pStyle w:val="ListParagraph"/>
        <w:numPr>
          <w:ilvl w:val="0"/>
          <w:numId w:val="2"/>
        </w:numPr>
        <w:spacing w:after="200"/>
      </w:pPr>
      <w:r>
        <w:rPr>
          <w:rFonts w:ascii="Arial" w:cs="Arial" w:eastAsia="Arial" w:hAnsi="Arial"/>
          <w:sz w:val="22"/>
          <w:szCs w:val="22"/>
        </w:rPr>
        <w:t xml:space="preserve">Configuration: Environment-based config with secure defaults (config.py, .env.example)</w:t>
      </w:r>
    </w:p>
    <w:p>
      <w:pPr>
        <w:pStyle w:val="Heading2"/>
        <w:spacing w:after="120" w:before="240"/>
      </w:pPr>
      <w:r>
        <w:rPr>
          <w:rFonts w:ascii="Arial" w:cs="Arial" w:eastAsia="Arial" w:hAnsi="Arial"/>
          <w:b/>
          <w:bCs/>
          <w:sz w:val="28"/>
          <w:szCs w:val="28"/>
        </w:rPr>
        <w:t xml:space="preserve">2.2 Deployment Model</w:t>
      </w:r>
    </w:p>
    <w:p>
      <w:pPr>
        <w:spacing w:after="120"/>
      </w:pPr>
      <w:r>
        <w:rPr>
          <w:rFonts w:ascii="Arial" w:cs="Arial" w:eastAsia="Arial" w:hAnsi="Arial"/>
          <w:sz w:val="22"/>
          <w:szCs w:val="22"/>
        </w:rPr>
        <w:t xml:space="preserve">The assessed deployment architecture consists of one central server running the FastAPI web server (accessible via HTTPS) and multiple Windows LTSC client devices on different networks. Each client device runs a local CLI instance and can also connect to the central server’s API for the web dashboard and programmatic access.</w:t>
      </w:r>
    </w:p>
    <w:p>
      <w:pPr>
        <w:pStyle w:val="Heading1"/>
        <w:spacing w:after="120" w:before="240"/>
      </w:pPr>
      <w:r>
        <w:rPr>
          <w:rFonts w:ascii="Arial" w:cs="Arial" w:eastAsia="Arial" w:hAnsi="Arial"/>
          <w:b/>
          <w:bCs/>
          <w:sz w:val="32"/>
          <w:szCs w:val="32"/>
        </w:rPr>
        <w:t xml:space="preserve">3. Findings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500"/>
        <w:gridCol w:w="1500"/>
        <w:gridCol w:w="256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authentication on API endpoints</w:t>
            </w:r>
          </w:p>
        </w:tc>
        <w:tc>
          <w:tcPr>
            <w:tcW w:type="dxa" w:w="15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bCs/>
                <w:color w:val="CC0000"/>
                <w:sz w:val="20"/>
                <w:szCs w:val="20"/>
              </w:rPr>
              <w:t xml:space="preserve">Critical</w:t>
            </w:r>
          </w:p>
        </w:tc>
        <w:tc>
          <w:tcPr>
            <w:tcW w:type="dxa" w:w="1500"/>
            <w:tcBorders>
              <w:top w:val="single" w:color="CCCCCC" w:sz="1"/>
              <w:left w:val="single" w:color="CCCCCC" w:sz="1"/>
              <w:bottom w:val="single" w:color="CCCCCC" w:sz="1"/>
              <w:right w:val="single" w:color="CCCCCC" w:sz="1"/>
            </w:tcBorders>
            <w:shd w:fill="E0F0FF" w:val="clear"/>
            <w:tcMar>
              <w:top w:type="dxa" w:w="80"/>
              <w:left w:type="dxa" w:w="120"/>
              <w:bottom w:type="dxa" w:w="80"/>
              <w:right w:type="dxa" w:w="120"/>
            </w:tcMar>
          </w:tcPr>
          <w:p>
            <w:r>
              <w:rPr>
                <w:rFonts w:ascii="Arial" w:cs="Arial" w:eastAsia="Arial" w:hAnsi="Arial"/>
                <w:b/>
                <w:bCs/>
                <w:color w:val="0066CC"/>
                <w:sz w:val="20"/>
                <w:szCs w:val="20"/>
              </w:rPr>
              <w:t xml:space="preserve">Mitigated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api.py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 plaintext transport (no TLS)</w:t>
            </w:r>
          </w:p>
        </w:tc>
        <w:tc>
          <w:tcPr>
            <w:tcW w:type="dxa" w:w="15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bCs/>
                <w:color w:val="CC0000"/>
                <w:sz w:val="20"/>
                <w:szCs w:val="20"/>
              </w:rPr>
              <w:t xml:space="preserve">Critical</w:t>
            </w:r>
          </w:p>
        </w:tc>
        <w:tc>
          <w:tcPr>
            <w:tcW w:type="dxa" w:w="1500"/>
            <w:tcBorders>
              <w:top w:val="single" w:color="CCCCCC" w:sz="1"/>
              <w:left w:val="single" w:color="CCCCCC" w:sz="1"/>
              <w:bottom w:val="single" w:color="CCCCCC" w:sz="1"/>
              <w:right w:val="single" w:color="CCCCCC" w:sz="1"/>
            </w:tcBorders>
            <w:shd w:fill="E0F0FF" w:val="clear"/>
            <w:tcMar>
              <w:top w:type="dxa" w:w="80"/>
              <w:left w:type="dxa" w:w="120"/>
              <w:bottom w:type="dxa" w:w="80"/>
              <w:right w:type="dxa" w:w="120"/>
            </w:tcMar>
          </w:tcPr>
          <w:p>
            <w:r>
              <w:rPr>
                <w:rFonts w:ascii="Arial" w:cs="Arial" w:eastAsia="Arial" w:hAnsi="Arial"/>
                <w:b/>
                <w:bCs/>
                <w:color w:val="0066CC"/>
                <w:sz w:val="20"/>
                <w:szCs w:val="20"/>
              </w:rPr>
              <w:t xml:space="preserve">Mitigated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api.py, config.py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SSRF via port scanner tool</w:t>
            </w:r>
          </w:p>
        </w:tc>
        <w:tc>
          <w:tcPr>
            <w:tcW w:type="dxa" w:w="15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r>
              <w:rPr>
                <w:rFonts w:ascii="Arial" w:cs="Arial" w:eastAsia="Arial" w:hAnsi="Arial"/>
                <w:b/>
                <w:bCs/>
                <w:color w:val="CC6600"/>
                <w:sz w:val="20"/>
                <w:szCs w:val="20"/>
              </w:rPr>
              <w:t xml:space="preserve">High</w:t>
            </w:r>
          </w:p>
        </w:tc>
        <w:tc>
          <w:tcPr>
            <w:tcW w:type="dxa" w:w="1500"/>
            <w:tcBorders>
              <w:top w:val="single" w:color="CCCCCC" w:sz="1"/>
              <w:left w:val="single" w:color="CCCCCC" w:sz="1"/>
              <w:bottom w:val="single" w:color="CCCCCC" w:sz="1"/>
              <w:right w:val="single" w:color="CCCCCC" w:sz="1"/>
            </w:tcBorders>
            <w:shd w:fill="E0F0FF" w:val="clear"/>
            <w:tcMar>
              <w:top w:type="dxa" w:w="80"/>
              <w:left w:type="dxa" w:w="120"/>
              <w:bottom w:type="dxa" w:w="80"/>
              <w:right w:type="dxa" w:w="120"/>
            </w:tcMar>
          </w:tcPr>
          <w:p>
            <w:r>
              <w:rPr>
                <w:rFonts w:ascii="Arial" w:cs="Arial" w:eastAsia="Arial" w:hAnsi="Arial"/>
                <w:b/>
                <w:bCs/>
                <w:color w:val="0066CC"/>
                <w:sz w:val="20"/>
                <w:szCs w:val="20"/>
              </w:rPr>
              <w:t xml:space="preserve">Mitigated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port_scanner.py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rate limiting on API</w:t>
            </w:r>
          </w:p>
        </w:tc>
        <w:tc>
          <w:tcPr>
            <w:tcW w:type="dxa" w:w="15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r>
              <w:rPr>
                <w:rFonts w:ascii="Arial" w:cs="Arial" w:eastAsia="Arial" w:hAnsi="Arial"/>
                <w:b/>
                <w:bCs/>
                <w:color w:val="CC6600"/>
                <w:sz w:val="20"/>
                <w:szCs w:val="20"/>
              </w:rPr>
              <w:t xml:space="preserve">High</w:t>
            </w:r>
          </w:p>
        </w:tc>
        <w:tc>
          <w:tcPr>
            <w:tcW w:type="dxa" w:w="1500"/>
            <w:tcBorders>
              <w:top w:val="single" w:color="CCCCCC" w:sz="1"/>
              <w:left w:val="single" w:color="CCCCCC" w:sz="1"/>
              <w:bottom w:val="single" w:color="CCCCCC" w:sz="1"/>
              <w:right w:val="single" w:color="CCCCCC" w:sz="1"/>
            </w:tcBorders>
            <w:shd w:fill="E0F0FF" w:val="clear"/>
            <w:tcMar>
              <w:top w:type="dxa" w:w="80"/>
              <w:left w:type="dxa" w:w="120"/>
              <w:bottom w:type="dxa" w:w="80"/>
              <w:right w:type="dxa" w:w="120"/>
            </w:tcMar>
          </w:tcPr>
          <w:p>
            <w:r>
              <w:rPr>
                <w:rFonts w:ascii="Arial" w:cs="Arial" w:eastAsia="Arial" w:hAnsi="Arial"/>
                <w:b/>
                <w:bCs/>
                <w:color w:val="0066CC"/>
                <w:sz w:val="20"/>
                <w:szCs w:val="20"/>
              </w:rPr>
              <w:t xml:space="preserve">Mitigated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api.py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Unrestricted CORS policy</w:t>
            </w:r>
          </w:p>
        </w:tc>
        <w:tc>
          <w:tcPr>
            <w:tcW w:type="dxa" w:w="15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r>
              <w:rPr>
                <w:rFonts w:ascii="Arial" w:cs="Arial" w:eastAsia="Arial" w:hAnsi="Arial"/>
                <w:b/>
                <w:bCs/>
                <w:color w:val="CC6600"/>
                <w:sz w:val="20"/>
                <w:szCs w:val="20"/>
              </w:rPr>
              <w:t xml:space="preserve">High</w:t>
            </w:r>
          </w:p>
        </w:tc>
        <w:tc>
          <w:tcPr>
            <w:tcW w:type="dxa" w:w="1500"/>
            <w:tcBorders>
              <w:top w:val="single" w:color="CCCCCC" w:sz="1"/>
              <w:left w:val="single" w:color="CCCCCC" w:sz="1"/>
              <w:bottom w:val="single" w:color="CCCCCC" w:sz="1"/>
              <w:right w:val="single" w:color="CCCCCC" w:sz="1"/>
            </w:tcBorders>
            <w:shd w:fill="E0F0FF" w:val="clear"/>
            <w:tcMar>
              <w:top w:type="dxa" w:w="80"/>
              <w:left w:type="dxa" w:w="120"/>
              <w:bottom w:type="dxa" w:w="80"/>
              <w:right w:type="dxa" w:w="120"/>
            </w:tcMar>
          </w:tcPr>
          <w:p>
            <w:r>
              <w:rPr>
                <w:rFonts w:ascii="Arial" w:cs="Arial" w:eastAsia="Arial" w:hAnsi="Arial"/>
                <w:b/>
                <w:bCs/>
                <w:color w:val="0066CC"/>
                <w:sz w:val="20"/>
                <w:szCs w:val="20"/>
              </w:rPr>
              <w:t xml:space="preserve">Mitigated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api.py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brute-force protection</w:t>
            </w:r>
          </w:p>
        </w:tc>
        <w:tc>
          <w:tcPr>
            <w:tcW w:type="dxa" w:w="15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r>
              <w:rPr>
                <w:rFonts w:ascii="Arial" w:cs="Arial" w:eastAsia="Arial" w:hAnsi="Arial"/>
                <w:b/>
                <w:bCs/>
                <w:color w:val="CC6600"/>
                <w:sz w:val="20"/>
                <w:szCs w:val="20"/>
              </w:rPr>
              <w:t xml:space="preserve">High</w:t>
            </w:r>
          </w:p>
        </w:tc>
        <w:tc>
          <w:tcPr>
            <w:tcW w:type="dxa" w:w="1500"/>
            <w:tcBorders>
              <w:top w:val="single" w:color="CCCCCC" w:sz="1"/>
              <w:left w:val="single" w:color="CCCCCC" w:sz="1"/>
              <w:bottom w:val="single" w:color="CCCCCC" w:sz="1"/>
              <w:right w:val="single" w:color="CCCCCC" w:sz="1"/>
            </w:tcBorders>
            <w:shd w:fill="E0F0FF" w:val="clear"/>
            <w:tcMar>
              <w:top w:type="dxa" w:w="80"/>
              <w:left w:type="dxa" w:w="120"/>
              <w:bottom w:type="dxa" w:w="80"/>
              <w:right w:type="dxa" w:w="120"/>
            </w:tcMar>
          </w:tcPr>
          <w:p>
            <w:r>
              <w:rPr>
                <w:rFonts w:ascii="Arial" w:cs="Arial" w:eastAsia="Arial" w:hAnsi="Arial"/>
                <w:b/>
                <w:bCs/>
                <w:color w:val="0066CC"/>
                <w:sz w:val="20"/>
                <w:szCs w:val="20"/>
              </w:rPr>
              <w:t xml:space="preserve">Mitigated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api.py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Error messages leak internal paths</w:t>
            </w:r>
          </w:p>
        </w:tc>
        <w:tc>
          <w:tcPr>
            <w:tcW w:type="dxa" w:w="1500"/>
            <w:tcBorders>
              <w:top w:val="single" w:color="CCCCCC" w:sz="1"/>
              <w:left w:val="single" w:color="CCCCCC" w:sz="1"/>
              <w:bottom w:val="single" w:color="CCCCCC" w:sz="1"/>
              <w:right w:val="single" w:color="CCCCCC" w:sz="1"/>
            </w:tcBorders>
            <w:shd w:fill="FFFFF0" w:val="clear"/>
            <w:tcMar>
              <w:top w:type="dxa" w:w="80"/>
              <w:left w:type="dxa" w:w="120"/>
              <w:bottom w:type="dxa" w:w="80"/>
              <w:right w:type="dxa" w:w="120"/>
            </w:tcMar>
          </w:tcPr>
          <w:p>
            <w:r>
              <w:rPr>
                <w:rFonts w:ascii="Arial" w:cs="Arial" w:eastAsia="Arial" w:hAnsi="Arial"/>
                <w:b/>
                <w:bCs/>
                <w:color w:val="999900"/>
                <w:sz w:val="20"/>
                <w:szCs w:val="20"/>
              </w:rPr>
              <w:t xml:space="preserve">Medium</w:t>
            </w:r>
          </w:p>
        </w:tc>
        <w:tc>
          <w:tcPr>
            <w:tcW w:type="dxa" w:w="1500"/>
            <w:tcBorders>
              <w:top w:val="single" w:color="CCCCCC" w:sz="1"/>
              <w:left w:val="single" w:color="CCCCCC" w:sz="1"/>
              <w:bottom w:val="single" w:color="CCCCCC" w:sz="1"/>
              <w:right w:val="single" w:color="CCCCCC" w:sz="1"/>
            </w:tcBorders>
            <w:shd w:fill="E0F0FF" w:val="clear"/>
            <w:tcMar>
              <w:top w:type="dxa" w:w="80"/>
              <w:left w:type="dxa" w:w="120"/>
              <w:bottom w:type="dxa" w:w="80"/>
              <w:right w:type="dxa" w:w="120"/>
            </w:tcMar>
          </w:tcPr>
          <w:p>
            <w:r>
              <w:rPr>
                <w:rFonts w:ascii="Arial" w:cs="Arial" w:eastAsia="Arial" w:hAnsi="Arial"/>
                <w:b/>
                <w:bCs/>
                <w:color w:val="0066CC"/>
                <w:sz w:val="20"/>
                <w:szCs w:val="20"/>
              </w:rPr>
              <w:t xml:space="preserve">Mitigated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api.py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Bare except clauses in tools</w:t>
            </w:r>
          </w:p>
        </w:tc>
        <w:tc>
          <w:tcPr>
            <w:tcW w:type="dxa" w:w="1500"/>
            <w:tcBorders>
              <w:top w:val="single" w:color="CCCCCC" w:sz="1"/>
              <w:left w:val="single" w:color="CCCCCC" w:sz="1"/>
              <w:bottom w:val="single" w:color="CCCCCC" w:sz="1"/>
              <w:right w:val="single" w:color="CCCCCC" w:sz="1"/>
            </w:tcBorders>
            <w:shd w:fill="FFFFF0" w:val="clear"/>
            <w:tcMar>
              <w:top w:type="dxa" w:w="80"/>
              <w:left w:type="dxa" w:w="120"/>
              <w:bottom w:type="dxa" w:w="80"/>
              <w:right w:type="dxa" w:w="120"/>
            </w:tcMar>
          </w:tcPr>
          <w:p>
            <w:r>
              <w:rPr>
                <w:rFonts w:ascii="Arial" w:cs="Arial" w:eastAsia="Arial" w:hAnsi="Arial"/>
                <w:b/>
                <w:bCs/>
                <w:color w:val="999900"/>
                <w:sz w:val="20"/>
                <w:szCs w:val="20"/>
              </w:rPr>
              <w:t xml:space="preserve">Medium</w:t>
            </w:r>
          </w:p>
        </w:tc>
        <w:tc>
          <w:tcPr>
            <w:tcW w:type="dxa" w:w="1500"/>
            <w:tcBorders>
              <w:top w:val="single" w:color="CCCCCC" w:sz="1"/>
              <w:left w:val="single" w:color="CCCCCC" w:sz="1"/>
              <w:bottom w:val="single" w:color="CCCCCC" w:sz="1"/>
              <w:right w:val="single" w:color="CCCCCC" w:sz="1"/>
            </w:tcBorders>
            <w:shd w:fill="E0F0FF" w:val="clear"/>
            <w:tcMar>
              <w:top w:type="dxa" w:w="80"/>
              <w:left w:type="dxa" w:w="120"/>
              <w:bottom w:type="dxa" w:w="80"/>
              <w:right w:type="dxa" w:w="120"/>
            </w:tcMar>
          </w:tcPr>
          <w:p>
            <w:r>
              <w:rPr>
                <w:rFonts w:ascii="Arial" w:cs="Arial" w:eastAsia="Arial" w:hAnsi="Arial"/>
                <w:b/>
                <w:bCs/>
                <w:color w:val="0066CC"/>
                <w:sz w:val="20"/>
                <w:szCs w:val="20"/>
              </w:rPr>
              <w:t xml:space="preserve">Mitigated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port_scanner.py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IP validation via character check</w:t>
            </w:r>
          </w:p>
        </w:tc>
        <w:tc>
          <w:tcPr>
            <w:tcW w:type="dxa" w:w="1500"/>
            <w:tcBorders>
              <w:top w:val="single" w:color="CCCCCC" w:sz="1"/>
              <w:left w:val="single" w:color="CCCCCC" w:sz="1"/>
              <w:bottom w:val="single" w:color="CCCCCC" w:sz="1"/>
              <w:right w:val="single" w:color="CCCCCC" w:sz="1"/>
            </w:tcBorders>
            <w:shd w:fill="FFFFF0" w:val="clear"/>
            <w:tcMar>
              <w:top w:type="dxa" w:w="80"/>
              <w:left w:type="dxa" w:w="120"/>
              <w:bottom w:type="dxa" w:w="80"/>
              <w:right w:type="dxa" w:w="120"/>
            </w:tcMar>
          </w:tcPr>
          <w:p>
            <w:r>
              <w:rPr>
                <w:rFonts w:ascii="Arial" w:cs="Arial" w:eastAsia="Arial" w:hAnsi="Arial"/>
                <w:b/>
                <w:bCs/>
                <w:color w:val="999900"/>
                <w:sz w:val="20"/>
                <w:szCs w:val="20"/>
              </w:rPr>
              <w:t xml:space="preserve">Medium</w:t>
            </w:r>
          </w:p>
        </w:tc>
        <w:tc>
          <w:tcPr>
            <w:tcW w:type="dxa" w:w="1500"/>
            <w:tcBorders>
              <w:top w:val="single" w:color="CCCCCC" w:sz="1"/>
              <w:left w:val="single" w:color="CCCCCC" w:sz="1"/>
              <w:bottom w:val="single" w:color="CCCCCC" w:sz="1"/>
              <w:right w:val="single" w:color="CCCCCC" w:sz="1"/>
            </w:tcBorders>
            <w:shd w:fill="E0F0FF" w:val="clear"/>
            <w:tcMar>
              <w:top w:type="dxa" w:w="80"/>
              <w:left w:type="dxa" w:w="120"/>
              <w:bottom w:type="dxa" w:w="80"/>
              <w:right w:type="dxa" w:w="120"/>
            </w:tcMar>
          </w:tcPr>
          <w:p>
            <w:r>
              <w:rPr>
                <w:rFonts w:ascii="Arial" w:cs="Arial" w:eastAsia="Arial" w:hAnsi="Arial"/>
                <w:b/>
                <w:bCs/>
                <w:color w:val="0066CC"/>
                <w:sz w:val="20"/>
                <w:szCs w:val="20"/>
              </w:rPr>
              <w:t xml:space="preserve">Mitigated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cli.py, api.py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input length constraints</w:t>
            </w:r>
          </w:p>
        </w:tc>
        <w:tc>
          <w:tcPr>
            <w:tcW w:type="dxa" w:w="1500"/>
            <w:tcBorders>
              <w:top w:val="single" w:color="CCCCCC" w:sz="1"/>
              <w:left w:val="single" w:color="CCCCCC" w:sz="1"/>
              <w:bottom w:val="single" w:color="CCCCCC" w:sz="1"/>
              <w:right w:val="single" w:color="CCCCCC" w:sz="1"/>
            </w:tcBorders>
            <w:shd w:fill="FFFFF0" w:val="clear"/>
            <w:tcMar>
              <w:top w:type="dxa" w:w="80"/>
              <w:left w:type="dxa" w:w="120"/>
              <w:bottom w:type="dxa" w:w="80"/>
              <w:right w:type="dxa" w:w="120"/>
            </w:tcMar>
          </w:tcPr>
          <w:p>
            <w:r>
              <w:rPr>
                <w:rFonts w:ascii="Arial" w:cs="Arial" w:eastAsia="Arial" w:hAnsi="Arial"/>
                <w:b/>
                <w:bCs/>
                <w:color w:val="999900"/>
                <w:sz w:val="20"/>
                <w:szCs w:val="20"/>
              </w:rPr>
              <w:t xml:space="preserve">Medium</w:t>
            </w:r>
          </w:p>
        </w:tc>
        <w:tc>
          <w:tcPr>
            <w:tcW w:type="dxa" w:w="1500"/>
            <w:tcBorders>
              <w:top w:val="single" w:color="CCCCCC" w:sz="1"/>
              <w:left w:val="single" w:color="CCCCCC" w:sz="1"/>
              <w:bottom w:val="single" w:color="CCCCCC" w:sz="1"/>
              <w:right w:val="single" w:color="CCCCCC" w:sz="1"/>
            </w:tcBorders>
            <w:shd w:fill="E0F0FF" w:val="clear"/>
            <w:tcMar>
              <w:top w:type="dxa" w:w="80"/>
              <w:left w:type="dxa" w:w="120"/>
              <w:bottom w:type="dxa" w:w="80"/>
              <w:right w:type="dxa" w:w="120"/>
            </w:tcMar>
          </w:tcPr>
          <w:p>
            <w:r>
              <w:rPr>
                <w:rFonts w:ascii="Arial" w:cs="Arial" w:eastAsia="Arial" w:hAnsi="Arial"/>
                <w:b/>
                <w:bCs/>
                <w:color w:val="0066CC"/>
                <w:sz w:val="20"/>
                <w:szCs w:val="20"/>
              </w:rPr>
              <w:t xml:space="preserve">Mitigated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api.py models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recreated on every request</w:t>
            </w:r>
          </w:p>
        </w:tc>
        <w:tc>
          <w:tcPr>
            <w:tcW w:type="dxa" w:w="1500"/>
            <w:tcBorders>
              <w:top w:val="single" w:color="CCCCCC" w:sz="1"/>
              <w:left w:val="single" w:color="CCCCCC" w:sz="1"/>
              <w:bottom w:val="single" w:color="CCCCCC" w:sz="1"/>
              <w:right w:val="single" w:color="CCCCCC" w:sz="1"/>
            </w:tcBorders>
            <w:shd w:fill="E0FFE0" w:val="clear"/>
            <w:tcMar>
              <w:top w:type="dxa" w:w="80"/>
              <w:left w:type="dxa" w:w="120"/>
              <w:bottom w:type="dxa" w:w="80"/>
              <w:right w:type="dxa" w:w="120"/>
            </w:tcMar>
          </w:tcPr>
          <w:p>
            <w:r>
              <w:rPr>
                <w:rFonts w:ascii="Arial" w:cs="Arial" w:eastAsia="Arial" w:hAnsi="Arial"/>
                <w:b/>
                <w:bCs/>
                <w:color w:val="006600"/>
                <w:sz w:val="20"/>
                <w:szCs w:val="20"/>
              </w:rPr>
              <w:t xml:space="preserve">Low</w:t>
            </w:r>
          </w:p>
        </w:tc>
        <w:tc>
          <w:tcPr>
            <w:tcW w:type="dxa" w:w="1500"/>
            <w:tcBorders>
              <w:top w:val="single" w:color="CCCCCC" w:sz="1"/>
              <w:left w:val="single" w:color="CCCCCC" w:sz="1"/>
              <w:bottom w:val="single" w:color="CCCCCC" w:sz="1"/>
              <w:right w:val="single" w:color="CCCCCC" w:sz="1"/>
            </w:tcBorders>
            <w:shd w:fill="E0F0FF" w:val="clear"/>
            <w:tcMar>
              <w:top w:type="dxa" w:w="80"/>
              <w:left w:type="dxa" w:w="120"/>
              <w:bottom w:type="dxa" w:w="80"/>
              <w:right w:type="dxa" w:w="120"/>
            </w:tcMar>
          </w:tcPr>
          <w:p>
            <w:r>
              <w:rPr>
                <w:rFonts w:ascii="Arial" w:cs="Arial" w:eastAsia="Arial" w:hAnsi="Arial"/>
                <w:b/>
                <w:bCs/>
                <w:color w:val="0066CC"/>
                <w:sz w:val="20"/>
                <w:szCs w:val="20"/>
              </w:rPr>
              <w:t xml:space="preserve">Mitigated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graph.py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Conversation history drops assistant messages</w:t>
            </w:r>
          </w:p>
        </w:tc>
        <w:tc>
          <w:tcPr>
            <w:tcW w:type="dxa" w:w="1500"/>
            <w:tcBorders>
              <w:top w:val="single" w:color="CCCCCC" w:sz="1"/>
              <w:left w:val="single" w:color="CCCCCC" w:sz="1"/>
              <w:bottom w:val="single" w:color="CCCCCC" w:sz="1"/>
              <w:right w:val="single" w:color="CCCCCC" w:sz="1"/>
            </w:tcBorders>
            <w:shd w:fill="E0FFE0" w:val="clear"/>
            <w:tcMar>
              <w:top w:type="dxa" w:w="80"/>
              <w:left w:type="dxa" w:w="120"/>
              <w:bottom w:type="dxa" w:w="80"/>
              <w:right w:type="dxa" w:w="120"/>
            </w:tcMar>
          </w:tcPr>
          <w:p>
            <w:r>
              <w:rPr>
                <w:rFonts w:ascii="Arial" w:cs="Arial" w:eastAsia="Arial" w:hAnsi="Arial"/>
                <w:b/>
                <w:bCs/>
                <w:color w:val="006600"/>
                <w:sz w:val="20"/>
                <w:szCs w:val="20"/>
              </w:rPr>
              <w:t xml:space="preserve">Low</w:t>
            </w:r>
          </w:p>
        </w:tc>
        <w:tc>
          <w:tcPr>
            <w:tcW w:type="dxa" w:w="1500"/>
            <w:tcBorders>
              <w:top w:val="single" w:color="CCCCCC" w:sz="1"/>
              <w:left w:val="single" w:color="CCCCCC" w:sz="1"/>
              <w:bottom w:val="single" w:color="CCCCCC" w:sz="1"/>
              <w:right w:val="single" w:color="CCCCCC" w:sz="1"/>
            </w:tcBorders>
            <w:shd w:fill="E0F0FF" w:val="clear"/>
            <w:tcMar>
              <w:top w:type="dxa" w:w="80"/>
              <w:left w:type="dxa" w:w="120"/>
              <w:bottom w:type="dxa" w:w="80"/>
              <w:right w:type="dxa" w:w="120"/>
            </w:tcMar>
          </w:tcPr>
          <w:p>
            <w:r>
              <w:rPr>
                <w:rFonts w:ascii="Arial" w:cs="Arial" w:eastAsia="Arial" w:hAnsi="Arial"/>
                <w:b/>
                <w:bCs/>
                <w:color w:val="0066CC"/>
                <w:sz w:val="20"/>
                <w:szCs w:val="20"/>
              </w:rPr>
              <w:t xml:space="preserve">Mitigated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graph.py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ip-api.com geolocation uses HTTP (free tier)</w:t>
            </w:r>
          </w:p>
        </w:tc>
        <w:tc>
          <w:tcPr>
            <w:tcW w:type="dxa" w:w="1500"/>
            <w:tcBorders>
              <w:top w:val="single" w:color="CCCCCC" w:sz="1"/>
              <w:left w:val="single" w:color="CCCCCC" w:sz="1"/>
              <w:bottom w:val="single" w:color="CCCCCC" w:sz="1"/>
              <w:right w:val="single" w:color="CCCCCC" w:sz="1"/>
            </w:tcBorders>
            <w:shd w:fill="E0FFE0" w:val="clear"/>
            <w:tcMar>
              <w:top w:type="dxa" w:w="80"/>
              <w:left w:type="dxa" w:w="120"/>
              <w:bottom w:type="dxa" w:w="80"/>
              <w:right w:type="dxa" w:w="120"/>
            </w:tcMar>
          </w:tcPr>
          <w:p>
            <w:r>
              <w:rPr>
                <w:rFonts w:ascii="Arial" w:cs="Arial" w:eastAsia="Arial" w:hAnsi="Arial"/>
                <w:b/>
                <w:bCs/>
                <w:color w:val="006600"/>
                <w:sz w:val="20"/>
                <w:szCs w:val="20"/>
              </w:rPr>
              <w:t xml:space="preserve">Low</w:t>
            </w:r>
          </w:p>
        </w:tc>
        <w:tc>
          <w:tcPr>
            <w:tcW w:type="dxa" w:w="1500"/>
            <w:tcBorders>
              <w:top w:val="single" w:color="CCCCCC" w:sz="1"/>
              <w:left w:val="single" w:color="CCCCCC" w:sz="1"/>
              <w:bottom w:val="single" w:color="CCCCCC" w:sz="1"/>
              <w:right w:val="single" w:color="CCCCCC" w:sz="1"/>
            </w:tcBorders>
            <w:shd w:fill="E0F0FF" w:val="clear"/>
            <w:tcMar>
              <w:top w:type="dxa" w:w="80"/>
              <w:left w:type="dxa" w:w="120"/>
              <w:bottom w:type="dxa" w:w="80"/>
              <w:right w:type="dxa" w:w="120"/>
            </w:tcMar>
          </w:tcPr>
          <w:p>
            <w:r>
              <w:rPr>
                <w:rFonts w:ascii="Arial" w:cs="Arial" w:eastAsia="Arial" w:hAnsi="Arial"/>
                <w:b/>
                <w:bCs/>
                <w:color w:val="0066CC"/>
                <w:sz w:val="20"/>
                <w:szCs w:val="20"/>
              </w:rPr>
              <w:t xml:space="preserve">Mitigated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network_utils.py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Self-signed TLS certificates</w:t>
            </w:r>
          </w:p>
        </w:tc>
        <w:tc>
          <w:tcPr>
            <w:tcW w:type="dxa" w:w="1500"/>
            <w:tcBorders>
              <w:top w:val="single" w:color="CCCCCC" w:sz="1"/>
              <w:left w:val="single" w:color="CCCCCC" w:sz="1"/>
              <w:bottom w:val="single" w:color="CCCCCC" w:sz="1"/>
              <w:right w:val="single" w:color="CCCCCC" w:sz="1"/>
            </w:tcBorders>
            <w:shd w:fill="FFFFF0" w:val="clear"/>
            <w:tcMar>
              <w:top w:type="dxa" w:w="80"/>
              <w:left w:type="dxa" w:w="120"/>
              <w:bottom w:type="dxa" w:w="80"/>
              <w:right w:type="dxa" w:w="120"/>
            </w:tcMar>
          </w:tcPr>
          <w:p>
            <w:r>
              <w:rPr>
                <w:rFonts w:ascii="Arial" w:cs="Arial" w:eastAsia="Arial" w:hAnsi="Arial"/>
                <w:b/>
                <w:bCs/>
                <w:color w:val="999900"/>
                <w:sz w:val="20"/>
                <w:szCs w:val="20"/>
              </w:rPr>
              <w:t xml:space="preserve">Medium</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996600"/>
                <w:sz w:val="20"/>
                <w:szCs w:val="20"/>
              </w:rPr>
              <w:t xml:space="preserve">Accepted Risk</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generate_certs.py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In-memory rate limit / lockout state</w:t>
            </w:r>
          </w:p>
        </w:tc>
        <w:tc>
          <w:tcPr>
            <w:tcW w:type="dxa" w:w="1500"/>
            <w:tcBorders>
              <w:top w:val="single" w:color="CCCCCC" w:sz="1"/>
              <w:left w:val="single" w:color="CCCCCC" w:sz="1"/>
              <w:bottom w:val="single" w:color="CCCCCC" w:sz="1"/>
              <w:right w:val="single" w:color="CCCCCC" w:sz="1"/>
            </w:tcBorders>
            <w:shd w:fill="FFFFF0" w:val="clear"/>
            <w:tcMar>
              <w:top w:type="dxa" w:w="80"/>
              <w:left w:type="dxa" w:w="120"/>
              <w:bottom w:type="dxa" w:w="80"/>
              <w:right w:type="dxa" w:w="120"/>
            </w:tcMar>
          </w:tcPr>
          <w:p>
            <w:r>
              <w:rPr>
                <w:rFonts w:ascii="Arial" w:cs="Arial" w:eastAsia="Arial" w:hAnsi="Arial"/>
                <w:b/>
                <w:bCs/>
                <w:color w:val="999900"/>
                <w:sz w:val="20"/>
                <w:szCs w:val="20"/>
              </w:rPr>
              <w:t xml:space="preserve">Medium</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996600"/>
                <w:sz w:val="20"/>
                <w:szCs w:val="20"/>
              </w:rPr>
              <w:t xml:space="preserve">Accepted Risk</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api.py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RBAC / multi-user support</w:t>
            </w:r>
          </w:p>
        </w:tc>
        <w:tc>
          <w:tcPr>
            <w:tcW w:type="dxa" w:w="1500"/>
            <w:tcBorders>
              <w:top w:val="single" w:color="CCCCCC" w:sz="1"/>
              <w:left w:val="single" w:color="CCCCCC" w:sz="1"/>
              <w:bottom w:val="single" w:color="CCCCCC" w:sz="1"/>
              <w:right w:val="single" w:color="CCCCCC" w:sz="1"/>
            </w:tcBorders>
            <w:shd w:fill="E0FFE0" w:val="clear"/>
            <w:tcMar>
              <w:top w:type="dxa" w:w="80"/>
              <w:left w:type="dxa" w:w="120"/>
              <w:bottom w:type="dxa" w:w="80"/>
              <w:right w:type="dxa" w:w="120"/>
            </w:tcMar>
          </w:tcPr>
          <w:p>
            <w:r>
              <w:rPr>
                <w:rFonts w:ascii="Arial" w:cs="Arial" w:eastAsia="Arial" w:hAnsi="Arial"/>
                <w:b/>
                <w:bCs/>
                <w:color w:val="006600"/>
                <w:sz w:val="20"/>
                <w:szCs w:val="20"/>
              </w:rPr>
              <w:t xml:space="preserve">Low</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996600"/>
                <w:sz w:val="20"/>
                <w:szCs w:val="20"/>
              </w:rPr>
              <w:t xml:space="preserve">Accepted Risk</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api.py</w:t>
            </w:r>
          </w:p>
        </w:tc>
      </w:tr>
    </w:tbl>
    <w:p/>
    <w:p>
      <w:pPr>
        <w:pStyle w:val="Heading1"/>
        <w:spacing w:after="120" w:before="240"/>
      </w:pPr>
      <w:r>
        <w:rPr>
          <w:rFonts w:ascii="Arial" w:cs="Arial" w:eastAsia="Arial" w:hAnsi="Arial"/>
          <w:b/>
          <w:bCs/>
          <w:sz w:val="32"/>
          <w:szCs w:val="32"/>
        </w:rPr>
        <w:t xml:space="preserve">4. Detailed Findings — Remediated</w:t>
      </w:r>
    </w:p>
    <w:p>
      <w:pPr>
        <w:pStyle w:val="Heading2"/>
        <w:spacing w:after="120" w:before="240"/>
      </w:pPr>
      <w:r>
        <w:rPr>
          <w:rFonts w:ascii="Arial" w:cs="Arial" w:eastAsia="Arial" w:hAnsi="Arial"/>
          <w:b/>
          <w:bCs/>
          <w:sz w:val="28"/>
          <w:szCs w:val="28"/>
        </w:rPr>
        <w:t xml:space="preserve">4.1 Critical: No Authentication on API Endpoints</w:t>
      </w:r>
    </w:p>
    <w:p>
      <w:pPr>
        <w:spacing w:after="120"/>
      </w:pPr>
      <w:r>
        <w:rPr>
          <w:rFonts w:ascii="Arial" w:cs="Arial" w:eastAsia="Arial" w:hAnsi="Arial"/>
          <w:sz w:val="22"/>
          <w:szCs w:val="22"/>
        </w:rPr>
        <w:t xml:space="preserve">Original Issue: All API endpoints were publicly accessible without any form of authentication. Any network-reachable client could invoke security tools, query the LLM, or scan targets through the API.</w:t>
      </w:r>
    </w:p>
    <w:p>
      <w:pPr>
        <w:spacing w:after="120"/>
      </w:pPr>
      <w:r>
        <w:rPr>
          <w:rFonts w:ascii="Arial" w:cs="Arial" w:eastAsia="Arial" w:hAnsi="Arial"/>
          <w:sz w:val="22"/>
          <w:szCs w:val="22"/>
        </w:rPr>
        <w:t xml:space="preserve">Remediation: Implemented X-API-Key header authentication on all /api/* endpoints via a FastAPI dependency chain. API keys are auto-generated using secrets.token_urlsafe(32) if not explicitly set in the .env file. The verify_api_key dependency validates the key on every request and logs all authentication events to the audit log.</w:t>
      </w:r>
    </w:p>
    <w:p>
      <w:pPr>
        <w:pStyle w:val="Heading2"/>
        <w:spacing w:after="120" w:before="240"/>
      </w:pPr>
      <w:r>
        <w:rPr>
          <w:rFonts w:ascii="Arial" w:cs="Arial" w:eastAsia="Arial" w:hAnsi="Arial"/>
          <w:b/>
          <w:bCs/>
          <w:sz w:val="28"/>
          <w:szCs w:val="28"/>
        </w:rPr>
        <w:t xml:space="preserve">4.2 Critical: HTTP Plaintext Transport</w:t>
      </w:r>
    </w:p>
    <w:p>
      <w:pPr>
        <w:spacing w:after="120"/>
      </w:pPr>
      <w:r>
        <w:rPr>
          <w:rFonts w:ascii="Arial" w:cs="Arial" w:eastAsia="Arial" w:hAnsi="Arial"/>
          <w:sz w:val="22"/>
          <w:szCs w:val="22"/>
        </w:rPr>
        <w:t xml:space="preserve">Original Issue: The API server ran on plain HTTP, transmitting API keys, queries, and security analysis results in cleartext. Cross-network deployment would expose all traffic to interception.</w:t>
      </w:r>
    </w:p>
    <w:p>
      <w:pPr>
        <w:spacing w:after="120"/>
      </w:pPr>
      <w:r>
        <w:rPr>
          <w:rFonts w:ascii="Arial" w:cs="Arial" w:eastAsia="Arial" w:hAnsi="Arial"/>
          <w:sz w:val="22"/>
          <w:szCs w:val="22"/>
        </w:rPr>
        <w:t xml:space="preserve">Remediation: Added TLS/HTTPS support via uvicorn’s ssl_certfile/ssl_keyfile parameters. Created generate_certs.py to produce self-signed X.509 certificates with SAN entries for localhost, the machine hostname, and detected/user-specified LAN IPs. The deploy-server.bat script automates certificate generation and HTTPS configuration.</w:t>
      </w:r>
    </w:p>
    <w:p>
      <w:pPr>
        <w:pStyle w:val="Heading2"/>
        <w:spacing w:after="120" w:before="240"/>
      </w:pPr>
      <w:r>
        <w:rPr>
          <w:rFonts w:ascii="Arial" w:cs="Arial" w:eastAsia="Arial" w:hAnsi="Arial"/>
          <w:b/>
          <w:bCs/>
          <w:sz w:val="28"/>
          <w:szCs w:val="28"/>
        </w:rPr>
        <w:t xml:space="preserve">4.3 High: SSRF via Port Scanner</w:t>
      </w:r>
    </w:p>
    <w:p>
      <w:pPr>
        <w:spacing w:after="120"/>
      </w:pPr>
      <w:r>
        <w:rPr>
          <w:rFonts w:ascii="Arial" w:cs="Arial" w:eastAsia="Arial" w:hAnsi="Arial"/>
          <w:sz w:val="22"/>
          <w:szCs w:val="22"/>
        </w:rPr>
        <w:t xml:space="preserve">Original Issue: The port_scanner tool accepted any target without validation, allowing an attacker to scan internal/loopback addresses (127.0.0.1, 169.254.x.x, 10.x.x.x) through the API — a classic Server-Side Request Forgery vector.</w:t>
      </w:r>
    </w:p>
    <w:p>
      <w:pPr>
        <w:spacing w:after="120"/>
      </w:pPr>
      <w:r>
        <w:rPr>
          <w:rFonts w:ascii="Arial" w:cs="Arial" w:eastAsia="Arial" w:hAnsi="Arial"/>
          <w:sz w:val="22"/>
          <w:szCs w:val="22"/>
        </w:rPr>
        <w:t xml:space="preserve">Remediation: Added _is_safe_target() validation using Python’s ipaddress module. The function blocks loopback (127.0.0.0/8), link-local (169.254.0.0/16), unspecified (0.0.0.0/8), multicast, and reserved address ranges. DNS resolution results are also checked before connecting.</w:t>
      </w:r>
    </w:p>
    <w:p>
      <w:pPr>
        <w:pStyle w:val="Heading2"/>
        <w:spacing w:after="120" w:before="240"/>
      </w:pPr>
      <w:r>
        <w:rPr>
          <w:rFonts w:ascii="Arial" w:cs="Arial" w:eastAsia="Arial" w:hAnsi="Arial"/>
          <w:b/>
          <w:bCs/>
          <w:sz w:val="28"/>
          <w:szCs w:val="28"/>
        </w:rPr>
        <w:t xml:space="preserve">4.4 High: No Rate Limiting</w:t>
      </w:r>
    </w:p>
    <w:p>
      <w:pPr>
        <w:spacing w:after="120"/>
      </w:pPr>
      <w:r>
        <w:rPr>
          <w:rFonts w:ascii="Arial" w:cs="Arial" w:eastAsia="Arial" w:hAnsi="Arial"/>
          <w:sz w:val="22"/>
          <w:szCs w:val="22"/>
        </w:rPr>
        <w:t xml:space="preserve">Original Issue: No rate limiting existed on any endpoint. An attacker could flood the API with requests, consuming LLM API credits (Anthropic billing) and causing denial of service.</w:t>
      </w:r>
    </w:p>
    <w:p>
      <w:pPr>
        <w:spacing w:after="120"/>
      </w:pPr>
      <w:r>
        <w:rPr>
          <w:rFonts w:ascii="Arial" w:cs="Arial" w:eastAsia="Arial" w:hAnsi="Arial"/>
          <w:sz w:val="22"/>
          <w:szCs w:val="22"/>
        </w:rPr>
        <w:t xml:space="preserve">Remediation: Implemented per-IP in-memory rate limiting (default 30 requests/minute). The rate_limit dependency tracks request timestamps per client IP and returns HTTP 429 when the threshold is exceeded. Rate limit events are logged to the audit log.</w:t>
      </w:r>
    </w:p>
    <w:p>
      <w:pPr>
        <w:pStyle w:val="Heading2"/>
        <w:spacing w:after="120" w:before="240"/>
      </w:pPr>
      <w:r>
        <w:rPr>
          <w:rFonts w:ascii="Arial" w:cs="Arial" w:eastAsia="Arial" w:hAnsi="Arial"/>
          <w:b/>
          <w:bCs/>
          <w:sz w:val="28"/>
          <w:szCs w:val="28"/>
        </w:rPr>
        <w:t xml:space="preserve">4.5 High: Unrestricted CORS</w:t>
      </w:r>
    </w:p>
    <w:p>
      <w:pPr>
        <w:spacing w:after="120"/>
      </w:pPr>
      <w:r>
        <w:rPr>
          <w:rFonts w:ascii="Arial" w:cs="Arial" w:eastAsia="Arial" w:hAnsi="Arial"/>
          <w:sz w:val="22"/>
          <w:szCs w:val="22"/>
        </w:rPr>
        <w:t xml:space="preserve">Original Issue: CORS was configured with wildcard origins or overly permissive defaults, allowing any website to make authenticated API calls if the user’s browser had the API key stored.</w:t>
      </w:r>
    </w:p>
    <w:p>
      <w:pPr>
        <w:spacing w:after="120"/>
      </w:pPr>
      <w:r>
        <w:rPr>
          <w:rFonts w:ascii="Arial" w:cs="Arial" w:eastAsia="Arial" w:hAnsi="Arial"/>
          <w:sz w:val="22"/>
          <w:szCs w:val="22"/>
        </w:rPr>
        <w:t xml:space="preserve">Remediation: Restricted CORS to explicit origins (localhost:8000 and 127.0.0.1:8000 by default), limited to GET/POST methods, and only X-API-Key and Content-Type headers. Configurable via CORS_ORIGINS in .env.</w:t>
      </w:r>
    </w:p>
    <w:p>
      <w:pPr>
        <w:pStyle w:val="Heading2"/>
        <w:spacing w:after="120" w:before="240"/>
      </w:pPr>
      <w:r>
        <w:rPr>
          <w:rFonts w:ascii="Arial" w:cs="Arial" w:eastAsia="Arial" w:hAnsi="Arial"/>
          <w:b/>
          <w:bCs/>
          <w:sz w:val="28"/>
          <w:szCs w:val="28"/>
        </w:rPr>
        <w:t xml:space="preserve">4.6 High: No Brute-Force Protection</w:t>
      </w:r>
    </w:p>
    <w:p>
      <w:pPr>
        <w:spacing w:after="120"/>
      </w:pPr>
      <w:r>
        <w:rPr>
          <w:rFonts w:ascii="Arial" w:cs="Arial" w:eastAsia="Arial" w:hAnsi="Arial"/>
          <w:sz w:val="22"/>
          <w:szCs w:val="22"/>
        </w:rPr>
        <w:t xml:space="preserve">Original Issue: Failed authentication attempts were not tracked or limited. An attacker could brute-force the API key indefinitely.</w:t>
      </w:r>
    </w:p>
    <w:p>
      <w:pPr>
        <w:spacing w:after="120"/>
      </w:pPr>
      <w:r>
        <w:rPr>
          <w:rFonts w:ascii="Arial" w:cs="Arial" w:eastAsia="Arial" w:hAnsi="Arial"/>
          <w:sz w:val="22"/>
          <w:szCs w:val="22"/>
        </w:rPr>
        <w:t xml:space="preserve">Remediation: Added per-IP failed authentication tracking with configurable lockout (default: 10 failed attempts triggers a 15-minute lockout). Locked-out IPs receive HTTP 403 regardless of key validity. All lockout events are audit-logged.</w:t>
      </w:r>
    </w:p>
    <w:p>
      <w:pPr>
        <w:pStyle w:val="Heading2"/>
        <w:spacing w:after="120" w:before="240"/>
      </w:pPr>
      <w:r>
        <w:rPr>
          <w:rFonts w:ascii="Arial" w:cs="Arial" w:eastAsia="Arial" w:hAnsi="Arial"/>
          <w:b/>
          <w:bCs/>
          <w:sz w:val="28"/>
          <w:szCs w:val="28"/>
        </w:rPr>
        <w:t xml:space="preserve">4.7 Medium: Error Message Information Disclosure</w:t>
      </w:r>
    </w:p>
    <w:p>
      <w:pPr>
        <w:spacing w:after="120"/>
      </w:pPr>
      <w:r>
        <w:rPr>
          <w:rFonts w:ascii="Arial" w:cs="Arial" w:eastAsia="Arial" w:hAnsi="Arial"/>
          <w:sz w:val="22"/>
          <w:szCs w:val="22"/>
        </w:rPr>
        <w:t xml:space="preserve">Original Issue: Exception messages containing file paths, stack traces, and Python internals were returned to API clients, aiding reconnaissance.</w:t>
      </w:r>
    </w:p>
    <w:p>
      <w:pPr>
        <w:spacing w:after="120"/>
      </w:pPr>
      <w:r>
        <w:rPr>
          <w:rFonts w:ascii="Arial" w:cs="Arial" w:eastAsia="Arial" w:hAnsi="Arial"/>
          <w:sz w:val="22"/>
          <w:szCs w:val="22"/>
        </w:rPr>
        <w:t xml:space="preserve">Remediation: Added _safe_error() sanitizer that strips file paths, tracebacks, and caps message length at 200 characters. Full error details are logged server-side only.</w:t>
      </w:r>
    </w:p>
    <w:p>
      <w:pPr>
        <w:pStyle w:val="Heading2"/>
        <w:spacing w:after="120" w:before="240"/>
      </w:pPr>
      <w:r>
        <w:rPr>
          <w:rFonts w:ascii="Arial" w:cs="Arial" w:eastAsia="Arial" w:hAnsi="Arial"/>
          <w:b/>
          <w:bCs/>
          <w:sz w:val="28"/>
          <w:szCs w:val="28"/>
        </w:rPr>
        <w:t xml:space="preserve">4.8 Medium: Input Validation Weaknesses</w:t>
      </w:r>
    </w:p>
    <w:p>
      <w:pPr>
        <w:spacing w:after="120"/>
      </w:pPr>
      <w:r>
        <w:rPr>
          <w:rFonts w:ascii="Arial" w:cs="Arial" w:eastAsia="Arial" w:hAnsi="Arial"/>
          <w:sz w:val="22"/>
          <w:szCs w:val="22"/>
        </w:rPr>
        <w:t xml:space="preserve">Original Issue: API request models lacked max_length constraints, and the IP validation in cli.py used a naive character check (all(c.isdigit() or c == ‘.’)) that would accept malformed inputs like “1.2.3.4.5.6”.</w:t>
      </w:r>
    </w:p>
    <w:p>
      <w:pPr>
        <w:spacing w:after="120"/>
      </w:pPr>
      <w:r>
        <w:rPr>
          <w:rFonts w:ascii="Arial" w:cs="Arial" w:eastAsia="Arial" w:hAnsi="Arial"/>
          <w:sz w:val="22"/>
          <w:szCs w:val="22"/>
        </w:rPr>
        <w:t xml:space="preserve">Remediation: Added max_length constraints to all Pydantic model fields (query: 10000, target/domain: 255, log_content: 100000, etc.). Replaced character-based IP validation with ipaddress.ip_address() in both cli.py and api.py.</w:t>
      </w:r>
    </w:p>
    <w:p>
      <w:r>
        <w:br w:type="page"/>
      </w:r>
    </w:p>
    <w:p>
      <w:pPr>
        <w:pStyle w:val="Heading1"/>
        <w:spacing w:after="120" w:before="240"/>
      </w:pPr>
      <w:r>
        <w:rPr>
          <w:rFonts w:ascii="Arial" w:cs="Arial" w:eastAsia="Arial" w:hAnsi="Arial"/>
          <w:b/>
          <w:bCs/>
          <w:sz w:val="32"/>
          <w:szCs w:val="32"/>
        </w:rPr>
        <w:t xml:space="preserve">5. Accepted Risks</w:t>
      </w:r>
    </w:p>
    <w:p>
      <w:pPr>
        <w:pStyle w:val="Heading2"/>
        <w:spacing w:after="120" w:before="240"/>
      </w:pPr>
      <w:r>
        <w:rPr>
          <w:rFonts w:ascii="Arial" w:cs="Arial" w:eastAsia="Arial" w:hAnsi="Arial"/>
          <w:b/>
          <w:bCs/>
          <w:sz w:val="28"/>
          <w:szCs w:val="28"/>
        </w:rPr>
        <w:t xml:space="preserve">5.1 Self-Signed TLS Certificates</w:t>
      </w:r>
    </w:p>
    <w:p>
      <w:pPr>
        <w:spacing w:after="120"/>
      </w:pPr>
      <w:r>
        <w:rPr>
          <w:rFonts w:ascii="Arial" w:cs="Arial" w:eastAsia="Arial" w:hAnsi="Arial"/>
          <w:sz w:val="22"/>
          <w:szCs w:val="22"/>
        </w:rPr>
        <w:t xml:space="preserve">Risk: Self-signed certificates do not provide identity verification. Clients must explicitly trust the server certificate, and the deployment is vulnerable to man-in-the-middle attacks if an attacker can intercept the initial certificate exchange.</w:t>
      </w:r>
    </w:p>
    <w:p>
      <w:pPr>
        <w:spacing w:after="120"/>
      </w:pPr>
      <w:r>
        <w:rPr>
          <w:rFonts w:ascii="Arial" w:cs="Arial" w:eastAsia="Arial" w:hAnsi="Arial"/>
          <w:sz w:val="22"/>
          <w:szCs w:val="22"/>
        </w:rPr>
        <w:t xml:space="preserve">Justification: For internal/lab deployment across Windows LTSC devices, CA-signed certificates require either a public domain or an internal PKI. Self-signed certificates provide encryption in transit while the operator evaluates whether a full PKI is warranted.</w:t>
      </w:r>
    </w:p>
    <w:p>
      <w:pPr>
        <w:spacing w:after="120"/>
      </w:pPr>
      <w:r>
        <w:rPr>
          <w:rFonts w:ascii="Arial" w:cs="Arial" w:eastAsia="Arial" w:hAnsi="Arial"/>
          <w:sz w:val="22"/>
          <w:szCs w:val="22"/>
        </w:rPr>
        <w:t xml:space="preserve">Recommendation: For production deployment, use certificates from an internal CA or a public CA with domain validation. Distribute the CA root certificate to all client devices via Group Policy or manual installation.</w:t>
      </w:r>
    </w:p>
    <w:p>
      <w:pPr>
        <w:pStyle w:val="Heading2"/>
        <w:spacing w:after="120" w:before="240"/>
      </w:pPr>
      <w:r>
        <w:rPr>
          <w:rFonts w:ascii="Arial" w:cs="Arial" w:eastAsia="Arial" w:hAnsi="Arial"/>
          <w:b/>
          <w:bCs/>
          <w:sz w:val="28"/>
          <w:szCs w:val="28"/>
        </w:rPr>
        <w:t xml:space="preserve">5.2 In-Memory Rate Limit and Lockout State</w:t>
      </w:r>
    </w:p>
    <w:p>
      <w:pPr>
        <w:spacing w:after="120"/>
      </w:pPr>
      <w:r>
        <w:rPr>
          <w:rFonts w:ascii="Arial" w:cs="Arial" w:eastAsia="Arial" w:hAnsi="Arial"/>
          <w:sz w:val="22"/>
          <w:szCs w:val="22"/>
        </w:rPr>
        <w:t xml:space="preserve">Risk: Rate limiting and brute-force lockout data is stored in Python process memory. A server restart clears all counters, and the state is not shared across multiple server processes (if scaled with multiple workers).</w:t>
      </w:r>
    </w:p>
    <w:p>
      <w:pPr>
        <w:spacing w:after="120"/>
      </w:pPr>
      <w:r>
        <w:rPr>
          <w:rFonts w:ascii="Arial" w:cs="Arial" w:eastAsia="Arial" w:hAnsi="Arial"/>
          <w:sz w:val="22"/>
          <w:szCs w:val="22"/>
        </w:rPr>
        <w:t xml:space="preserve">Justification: For single-server deployment, in-memory state is sufficient. The simplicity avoids introducing Redis or database dependencies on Windows LTSC.</w:t>
      </w:r>
    </w:p>
    <w:p>
      <w:pPr>
        <w:spacing w:after="120"/>
      </w:pPr>
      <w:r>
        <w:rPr>
          <w:rFonts w:ascii="Arial" w:cs="Arial" w:eastAsia="Arial" w:hAnsi="Arial"/>
          <w:sz w:val="22"/>
          <w:szCs w:val="22"/>
        </w:rPr>
        <w:t xml:space="preserve">Recommendation: If scaling to multiple workers or requiring persistence across restarts, migrate to Redis-backed rate limiting or a lightweight SQLite store.</w:t>
      </w:r>
    </w:p>
    <w:p>
      <w:pPr>
        <w:pStyle w:val="Heading2"/>
        <w:spacing w:after="120" w:before="240"/>
      </w:pPr>
      <w:r>
        <w:rPr>
          <w:rFonts w:ascii="Arial" w:cs="Arial" w:eastAsia="Arial" w:hAnsi="Arial"/>
          <w:b/>
          <w:bCs/>
          <w:sz w:val="28"/>
          <w:szCs w:val="28"/>
        </w:rPr>
        <w:t xml:space="preserve">5.3 No RBAC / Multi-User Support</w:t>
      </w:r>
    </w:p>
    <w:p>
      <w:pPr>
        <w:spacing w:after="120"/>
      </w:pPr>
      <w:r>
        <w:rPr>
          <w:rFonts w:ascii="Arial" w:cs="Arial" w:eastAsia="Arial" w:hAnsi="Arial"/>
          <w:sz w:val="22"/>
          <w:szCs w:val="22"/>
        </w:rPr>
        <w:t xml:space="preserve">Risk: All authenticated users share a single API key and identical permissions. There is no way to restrict which tools or endpoints a specific user can access, and audit logs identify requests by IP rather than individual user identity.</w:t>
      </w:r>
    </w:p>
    <w:p>
      <w:pPr>
        <w:spacing w:after="120"/>
      </w:pPr>
      <w:r>
        <w:rPr>
          <w:rFonts w:ascii="Arial" w:cs="Arial" w:eastAsia="Arial" w:hAnsi="Arial"/>
          <w:sz w:val="22"/>
          <w:szCs w:val="22"/>
        </w:rPr>
        <w:t xml:space="preserve">Justification: The current deployment model has a small number of trusted operators on a controlled network. Single-key auth is appropriate for this threat model.</w:t>
      </w:r>
    </w:p>
    <w:p>
      <w:pPr>
        <w:spacing w:after="120"/>
      </w:pPr>
      <w:r>
        <w:rPr>
          <w:rFonts w:ascii="Arial" w:cs="Arial" w:eastAsia="Arial" w:hAnsi="Arial"/>
          <w:sz w:val="22"/>
          <w:szCs w:val="22"/>
        </w:rPr>
        <w:t xml:space="preserve">Recommendation: For multi-team deployment, implement per-user API keys with role-based permissions and user identity in audit logs.</w:t>
      </w:r>
    </w:p>
    <w:p>
      <w:pPr>
        <w:pStyle w:val="Heading1"/>
        <w:spacing w:after="120" w:before="240"/>
      </w:pPr>
      <w:r>
        <w:rPr>
          <w:rFonts w:ascii="Arial" w:cs="Arial" w:eastAsia="Arial" w:hAnsi="Arial"/>
          <w:b/>
          <w:bCs/>
          <w:sz w:val="32"/>
          <w:szCs w:val="32"/>
        </w:rPr>
        <w:t xml:space="preserve">6. Security Architecture Overview</w:t>
      </w:r>
    </w:p>
    <w:p>
      <w:pPr>
        <w:pStyle w:val="Heading2"/>
        <w:spacing w:after="120" w:before="240"/>
      </w:pPr>
      <w:r>
        <w:rPr>
          <w:rFonts w:ascii="Arial" w:cs="Arial" w:eastAsia="Arial" w:hAnsi="Arial"/>
          <w:b/>
          <w:bCs/>
          <w:sz w:val="28"/>
          <w:szCs w:val="28"/>
        </w:rPr>
        <w:t xml:space="preserve">6.1 Authentication &amp; Authorization</w:t>
      </w:r>
    </w:p>
    <w:p>
      <w:pPr>
        <w:spacing w:after="120"/>
      </w:pPr>
      <w:r>
        <w:rPr>
          <w:rFonts w:ascii="Arial" w:cs="Arial" w:eastAsia="Arial" w:hAnsi="Arial"/>
          <w:sz w:val="22"/>
          <w:szCs w:val="22"/>
        </w:rPr>
        <w:t xml:space="preserve">The API uses a single shared secret (API key) transmitted via the X-API-Key HTTP header. The key is validated on every request via a FastAPI dependency chain that also enforces rate limiting and IP allowlisting. The authentication flow is: check IP allowlist → check rate limit → check lockout status → validate API key → audit log.</w:t>
      </w:r>
    </w:p>
    <w:p>
      <w:pPr>
        <w:pStyle w:val="Heading2"/>
        <w:spacing w:after="120" w:before="240"/>
      </w:pPr>
      <w:r>
        <w:rPr>
          <w:rFonts w:ascii="Arial" w:cs="Arial" w:eastAsia="Arial" w:hAnsi="Arial"/>
          <w:b/>
          <w:bCs/>
          <w:sz w:val="28"/>
          <w:szCs w:val="28"/>
        </w:rPr>
        <w:t xml:space="preserve">6.2 Transport Security</w:t>
      </w:r>
    </w:p>
    <w:p>
      <w:pPr>
        <w:spacing w:after="120"/>
      </w:pPr>
      <w:r>
        <w:rPr>
          <w:rFonts w:ascii="Arial" w:cs="Arial" w:eastAsia="Arial" w:hAnsi="Arial"/>
          <w:sz w:val="22"/>
          <w:szCs w:val="22"/>
        </w:rPr>
        <w:t xml:space="preserve">TLS 1.2+ encryption is available via self-signed certificates generated with the cryptography library. Certificates include Subject Alternative Names (SANs) for localhost, the machine hostname, and all detected/configured LAN IPs. The deploy-server.bat script automates certificate generation and configures the Windows Firewall to allow inbound connections on port 8000.</w:t>
      </w:r>
    </w:p>
    <w:p>
      <w:pPr>
        <w:pStyle w:val="Heading2"/>
        <w:spacing w:after="120" w:before="240"/>
      </w:pPr>
      <w:r>
        <w:rPr>
          <w:rFonts w:ascii="Arial" w:cs="Arial" w:eastAsia="Arial" w:hAnsi="Arial"/>
          <w:b/>
          <w:bCs/>
          <w:sz w:val="28"/>
          <w:szCs w:val="28"/>
        </w:rPr>
        <w:t xml:space="preserve">6.3 Network Controls</w:t>
      </w:r>
    </w:p>
    <w:p>
      <w:pPr>
        <w:spacing w:after="120"/>
      </w:pPr>
      <w:r>
        <w:rPr>
          <w:rFonts w:ascii="Arial" w:cs="Arial" w:eastAsia="Arial" w:hAnsi="Arial"/>
          <w:sz w:val="22"/>
          <w:szCs w:val="22"/>
        </w:rPr>
        <w:t xml:space="preserve">IP Allowlisting: Configurable via IP_ALLOWLIST in .env. When set, only listed IPs can access the API regardless of valid authentication. This is the primary network-level control for cross-network deployment.</w:t>
      </w:r>
    </w:p>
    <w:p>
      <w:pPr>
        <w:spacing w:after="120"/>
      </w:pPr>
      <w:r>
        <w:rPr>
          <w:rFonts w:ascii="Arial" w:cs="Arial" w:eastAsia="Arial" w:hAnsi="Arial"/>
          <w:sz w:val="22"/>
          <w:szCs w:val="22"/>
        </w:rPr>
        <w:t xml:space="preserve">Windows Firewall: deploy-server.bat creates an inbound rule for the API port. Administrators should review and restrict this rule to specific source IP ranges where possible.</w:t>
      </w:r>
    </w:p>
    <w:p>
      <w:pPr>
        <w:spacing w:after="120"/>
      </w:pPr>
      <w:r>
        <w:rPr>
          <w:rFonts w:ascii="Arial" w:cs="Arial" w:eastAsia="Arial" w:hAnsi="Arial"/>
          <w:sz w:val="22"/>
          <w:szCs w:val="22"/>
        </w:rPr>
        <w:t xml:space="preserve">SSRF Protection: The port scanner validates all targets against reserved/private IP ranges before connecting, preventing the API from being used to scan internal infrastructure.</w:t>
      </w:r>
    </w:p>
    <w:p>
      <w:pPr>
        <w:pStyle w:val="Heading2"/>
        <w:spacing w:after="120" w:before="240"/>
      </w:pPr>
      <w:r>
        <w:rPr>
          <w:rFonts w:ascii="Arial" w:cs="Arial" w:eastAsia="Arial" w:hAnsi="Arial"/>
          <w:b/>
          <w:bCs/>
          <w:sz w:val="28"/>
          <w:szCs w:val="28"/>
        </w:rPr>
        <w:t xml:space="preserve">6.4 Audit &amp; Logging</w:t>
      </w:r>
    </w:p>
    <w:p>
      <w:pPr>
        <w:spacing w:after="120"/>
      </w:pPr>
      <w:r>
        <w:rPr>
          <w:rFonts w:ascii="Arial" w:cs="Arial" w:eastAsia="Arial" w:hAnsi="Arial"/>
          <w:sz w:val="22"/>
          <w:szCs w:val="22"/>
        </w:rPr>
        <w:t xml:space="preserve">All security-relevant events are written to a dedicated audit.log file (separate from application logs). Logged events include: successful and failed authentication attempts, rate limit violations, IP allowlist blocks, and lockout triggers. Each entry includes a timestamp and client IP address.</w:t>
      </w:r>
    </w:p>
    <w:p>
      <w:pPr>
        <w:pStyle w:val="Heading1"/>
        <w:spacing w:after="120" w:before="240"/>
      </w:pPr>
      <w:r>
        <w:rPr>
          <w:rFonts w:ascii="Arial" w:cs="Arial" w:eastAsia="Arial" w:hAnsi="Arial"/>
          <w:b/>
          <w:bCs/>
          <w:sz w:val="32"/>
          <w:szCs w:val="32"/>
        </w:rPr>
        <w:t xml:space="preserve">7. Deployment Recommendations for Windows LTSC</w:t>
      </w:r>
    </w:p>
    <w:p>
      <w:pPr>
        <w:pStyle w:val="Heading2"/>
        <w:spacing w:after="120" w:before="240"/>
      </w:pPr>
      <w:r>
        <w:rPr>
          <w:rFonts w:ascii="Arial" w:cs="Arial" w:eastAsia="Arial" w:hAnsi="Arial"/>
          <w:b/>
          <w:bCs/>
          <w:sz w:val="28"/>
          <w:szCs w:val="28"/>
        </w:rPr>
        <w:t xml:space="preserve">7.1 Server Setup</w:t>
      </w:r>
    </w:p>
    <w:p>
      <w:pPr>
        <w:pStyle w:val="ListParagraph"/>
        <w:numPr>
          <w:ilvl w:val="0"/>
          <w:numId w:val="3"/>
        </w:numPr>
      </w:pPr>
      <w:r>
        <w:rPr>
          <w:rFonts w:ascii="Arial" w:cs="Arial" w:eastAsia="Arial" w:hAnsi="Arial"/>
          <w:sz w:val="22"/>
          <w:szCs w:val="22"/>
        </w:rPr>
        <w:t xml:space="preserve">Install Python 3.11+ from python.org (Windows LTSC has no Microsoft Store).</w:t>
      </w:r>
    </w:p>
    <w:p>
      <w:pPr>
        <w:pStyle w:val="ListParagraph"/>
        <w:numPr>
          <w:ilvl w:val="0"/>
          <w:numId w:val="3"/>
        </w:numPr>
      </w:pPr>
      <w:r>
        <w:rPr>
          <w:rFonts w:ascii="Arial" w:cs="Arial" w:eastAsia="Arial" w:hAnsi="Arial"/>
          <w:sz w:val="22"/>
          <w:szCs w:val="22"/>
        </w:rPr>
        <w:t xml:space="preserve">Run setup.bat to create virtual environment and install dependencies.</w:t>
      </w:r>
    </w:p>
    <w:p>
      <w:pPr>
        <w:pStyle w:val="ListParagraph"/>
        <w:numPr>
          <w:ilvl w:val="0"/>
          <w:numId w:val="3"/>
        </w:numPr>
      </w:pPr>
      <w:r>
        <w:rPr>
          <w:rFonts w:ascii="Arial" w:cs="Arial" w:eastAsia="Arial" w:hAnsi="Arial"/>
          <w:sz w:val="22"/>
          <w:szCs w:val="22"/>
        </w:rPr>
        <w:t xml:space="preserve">Set ANTHROPIC_API_KEY and a strong API_KEY in the .env file.</w:t>
      </w:r>
    </w:p>
    <w:p>
      <w:pPr>
        <w:pStyle w:val="ListParagraph"/>
        <w:numPr>
          <w:ilvl w:val="0"/>
          <w:numId w:val="3"/>
        </w:numPr>
      </w:pPr>
      <w:r>
        <w:rPr>
          <w:rFonts w:ascii="Arial" w:cs="Arial" w:eastAsia="Arial" w:hAnsi="Arial"/>
          <w:sz w:val="22"/>
          <w:szCs w:val="22"/>
        </w:rPr>
        <w:t xml:space="preserve">Run deploy-server.bat to generate TLS certificates and configure the firewall.</w:t>
      </w:r>
    </w:p>
    <w:p>
      <w:pPr>
        <w:pStyle w:val="ListParagraph"/>
        <w:numPr>
          <w:ilvl w:val="0"/>
          <w:numId w:val="3"/>
        </w:numPr>
      </w:pPr>
      <w:r>
        <w:rPr>
          <w:rFonts w:ascii="Arial" w:cs="Arial" w:eastAsia="Arial" w:hAnsi="Arial"/>
          <w:sz w:val="22"/>
          <w:szCs w:val="22"/>
        </w:rPr>
        <w:t xml:space="preserve">Configure IP_ALLOWLIST with the IP addresses of all authorized client devices.</w:t>
      </w:r>
    </w:p>
    <w:p>
      <w:pPr>
        <w:pStyle w:val="ListParagraph"/>
        <w:numPr>
          <w:ilvl w:val="0"/>
          <w:numId w:val="3"/>
        </w:numPr>
      </w:pPr>
      <w:r>
        <w:rPr>
          <w:rFonts w:ascii="Arial" w:cs="Arial" w:eastAsia="Arial" w:hAnsi="Arial"/>
          <w:sz w:val="22"/>
          <w:szCs w:val="22"/>
        </w:rPr>
        <w:t xml:space="preserve">Set API_HOST=0.0.0.0 to accept remote connections.</w:t>
      </w:r>
    </w:p>
    <w:p>
      <w:pPr>
        <w:pStyle w:val="ListParagraph"/>
        <w:numPr>
          <w:ilvl w:val="0"/>
          <w:numId w:val="3"/>
        </w:numPr>
        <w:spacing w:after="200"/>
      </w:pPr>
      <w:r>
        <w:rPr>
          <w:rFonts w:ascii="Arial" w:cs="Arial" w:eastAsia="Arial" w:hAnsi="Arial"/>
          <w:sz w:val="22"/>
          <w:szCs w:val="22"/>
        </w:rPr>
        <w:t xml:space="preserve">Distribute the server’s TLS certificate (certs/server.crt) to all client devices for trust verification.</w:t>
      </w:r>
    </w:p>
    <w:p>
      <w:pPr>
        <w:pStyle w:val="Heading2"/>
        <w:spacing w:after="120" w:before="240"/>
      </w:pPr>
      <w:r>
        <w:rPr>
          <w:rFonts w:ascii="Arial" w:cs="Arial" w:eastAsia="Arial" w:hAnsi="Arial"/>
          <w:b/>
          <w:bCs/>
          <w:sz w:val="28"/>
          <w:szCs w:val="28"/>
        </w:rPr>
        <w:t xml:space="preserve">7.2 Client Setup</w:t>
      </w:r>
    </w:p>
    <w:p>
      <w:pPr>
        <w:pStyle w:val="ListParagraph"/>
        <w:numPr>
          <w:ilvl w:val="0"/>
          <w:numId w:val="3"/>
        </w:numPr>
      </w:pPr>
      <w:r>
        <w:rPr>
          <w:rFonts w:ascii="Arial" w:cs="Arial" w:eastAsia="Arial" w:hAnsi="Arial"/>
          <w:sz w:val="22"/>
          <w:szCs w:val="22"/>
        </w:rPr>
        <w:t xml:space="preserve">Install Python 3.11+ from python.org.</w:t>
      </w:r>
    </w:p>
    <w:p>
      <w:pPr>
        <w:pStyle w:val="ListParagraph"/>
        <w:numPr>
          <w:ilvl w:val="0"/>
          <w:numId w:val="3"/>
        </w:numPr>
      </w:pPr>
      <w:r>
        <w:rPr>
          <w:rFonts w:ascii="Arial" w:cs="Arial" w:eastAsia="Arial" w:hAnsi="Arial"/>
          <w:sz w:val="22"/>
          <w:szCs w:val="22"/>
        </w:rPr>
        <w:t xml:space="preserve">Run deploy-client.bat — enter the server’s IP address and API key when prompted.</w:t>
      </w:r>
    </w:p>
    <w:p>
      <w:pPr>
        <w:pStyle w:val="ListParagraph"/>
        <w:numPr>
          <w:ilvl w:val="0"/>
          <w:numId w:val="3"/>
        </w:numPr>
      </w:pPr>
      <w:r>
        <w:rPr>
          <w:rFonts w:ascii="Arial" w:cs="Arial" w:eastAsia="Arial" w:hAnsi="Arial"/>
          <w:sz w:val="22"/>
          <w:szCs w:val="22"/>
        </w:rPr>
        <w:t xml:space="preserve">Import the server’s TLS certificate into the Windows certificate store (certmgr.msc → Trusted Root Certification Authorities).</w:t>
      </w:r>
    </w:p>
    <w:p>
      <w:pPr>
        <w:pStyle w:val="ListParagraph"/>
        <w:numPr>
          <w:ilvl w:val="0"/>
          <w:numId w:val="3"/>
        </w:numPr>
        <w:spacing w:after="200"/>
      </w:pPr>
      <w:r>
        <w:rPr>
          <w:rFonts w:ascii="Arial" w:cs="Arial" w:eastAsia="Arial" w:hAnsi="Arial"/>
          <w:sz w:val="22"/>
          <w:szCs w:val="22"/>
        </w:rPr>
        <w:t xml:space="preserve">Use start-cli.bat for local CLI operation or access the web dashboard via browser.</w:t>
      </w:r>
    </w:p>
    <w:p>
      <w:pPr>
        <w:pStyle w:val="Heading2"/>
        <w:spacing w:after="120" w:before="240"/>
      </w:pPr>
      <w:r>
        <w:rPr>
          <w:rFonts w:ascii="Arial" w:cs="Arial" w:eastAsia="Arial" w:hAnsi="Arial"/>
          <w:b/>
          <w:bCs/>
          <w:sz w:val="28"/>
          <w:szCs w:val="28"/>
        </w:rPr>
        <w:t xml:space="preserve">7.3 Hardening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000"/>
        <w:gridCol w:w="2000"/>
      </w:tblGrid>
      <w:tr>
        <w:tc>
          <w:tcPr>
            <w:tcW w:type="dxa" w:w="5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Control</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Recommended</w:t>
            </w:r>
          </w:p>
        </w:tc>
      </w:tr>
      <w:tr>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TLS/HTTPS enabled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Disabled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6600"/>
                <w:sz w:val="20"/>
                <w:szCs w:val="20"/>
              </w:rPr>
              <w:t xml:space="preserve">Enabled</w:t>
            </w:r>
          </w:p>
        </w:tc>
      </w:tr>
      <w:tr>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API_HOST binding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127.0.0.1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0.0.0.0 (server)</w:t>
            </w:r>
          </w:p>
        </w:tc>
      </w:tr>
      <w:tr>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API_KEY set explicitly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Auto-generated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6600"/>
                <w:sz w:val="20"/>
                <w:szCs w:val="20"/>
              </w:rPr>
              <w:t xml:space="preserve">Manual 32+ chars</w:t>
            </w:r>
          </w:p>
        </w:tc>
      </w:tr>
      <w:tr>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IP_ALLOWLIST configured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Empty (all)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6600"/>
                <w:sz w:val="20"/>
                <w:szCs w:val="20"/>
              </w:rPr>
              <w:t xml:space="preserve">Client IPs only</w:t>
            </w:r>
          </w:p>
        </w:tc>
      </w:tr>
      <w:tr>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Rate limit (RPM)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15–30</w:t>
            </w:r>
          </w:p>
        </w:tc>
      </w:tr>
      <w:tr>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Lockout attempts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5–10</w:t>
            </w:r>
          </w:p>
        </w:tc>
      </w:tr>
      <w:tr>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Lockout duration (min)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15–60</w:t>
            </w:r>
          </w:p>
        </w:tc>
      </w:tr>
      <w:tr>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CORS origins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localhost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6600"/>
                <w:sz w:val="20"/>
                <w:szCs w:val="20"/>
              </w:rPr>
              <w:t xml:space="preserve">Server IP/domain</w:t>
            </w:r>
          </w:p>
        </w:tc>
      </w:tr>
      <w:tr>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Windows Firewall rule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Allow all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6600"/>
                <w:sz w:val="20"/>
                <w:szCs w:val="20"/>
              </w:rPr>
              <w:t xml:space="preserve">Source IP restricted</w:t>
            </w:r>
          </w:p>
        </w:tc>
      </w:tr>
      <w:tr>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Audit log monitoring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 only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SIEM integration</w:t>
            </w:r>
          </w:p>
        </w:tc>
      </w:tr>
    </w:tbl>
    <w:p/>
    <w:p>
      <w:pPr>
        <w:pStyle w:val="Heading1"/>
        <w:spacing w:after="120" w:before="240"/>
      </w:pPr>
      <w:r>
        <w:rPr>
          <w:rFonts w:ascii="Arial" w:cs="Arial" w:eastAsia="Arial" w:hAnsi="Arial"/>
          <w:b/>
          <w:bCs/>
          <w:sz w:val="32"/>
          <w:szCs w:val="32"/>
        </w:rPr>
        <w:t xml:space="preserve">8. Conclusion</w:t>
      </w:r>
    </w:p>
    <w:p>
      <w:pPr>
        <w:spacing w:after="120"/>
      </w:pPr>
      <w:r>
        <w:rPr>
          <w:rFonts w:ascii="Arial" w:cs="Arial" w:eastAsia="Arial" w:hAnsi="Arial"/>
          <w:sz w:val="22"/>
          <w:szCs w:val="22"/>
        </w:rPr>
        <w:t xml:space="preserve">The Cybersecurity AI Agent has been hardened from its original state with 13 security issues remediated across authentication, transport security, input validation, SSRF protection, rate limiting, and operational security. Three risks have been formally accepted as appropriate for the current deployment scope.</w:t>
      </w:r>
    </w:p>
    <w:p>
      <w:pPr>
        <w:spacing w:after="120"/>
      </w:pPr>
      <w:r>
        <w:rPr>
          <w:rFonts w:ascii="Arial" w:cs="Arial" w:eastAsia="Arial" w:hAnsi="Arial"/>
          <w:sz w:val="22"/>
          <w:szCs w:val="22"/>
        </w:rPr>
        <w:t xml:space="preserve">The agent is now suitable for deployment across multiple Windows LTSC devices on separate networks, provided operators follow the deployment recommendations in Section 7 — particularly enabling TLS, configuring IP allowlisting, setting explicit API keys, and restricting Windows Firewall rules to known client IPs.</w:t>
      </w:r>
    </w:p>
    <w:p>
      <w:pPr>
        <w:spacing w:after="120"/>
      </w:pPr>
      <w:r>
        <w:rPr>
          <w:rFonts w:ascii="Arial" w:cs="Arial" w:eastAsia="Arial" w:hAnsi="Arial"/>
          <w:sz w:val="22"/>
          <w:szCs w:val="22"/>
        </w:rPr>
        <w:t xml:space="preserve">Periodic review is recommended as the deployment scales or the threat model evolves, with particular attention to the accepted risks around certificate management, state persistence, and multi-user access control.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Cybersecurity AI Agent — Security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B3A5C"/>
      <w:sz w:val="32"/>
      <w:szCs w:val="32"/>
    </w:rPr>
  </w:style>
  <w:style w:type="paragraph" w:styleId="Heading2">
    <w:name w:val="Heading 2"/>
    <w:basedOn w:val="Normal"/>
    <w:next w:val="Normal"/>
    <w:qFormat/>
    <w:pPr>
      <w:spacing w:after="180" w:before="180"/>
      <w:outlineLvl w:val="1"/>
    </w:pPr>
    <w:rPr>
      <w:rFonts w:ascii="Arial" w:cs="Arial" w:eastAsia="Arial" w:hAnsi="Arial"/>
      <w:b/>
      <w:bCs/>
      <w:color w:val="2E5984"/>
      <w:sz w:val="28"/>
      <w:szCs w:val="28"/>
    </w:rPr>
  </w:style>
  <w:style w:type="paragraph" w:styleId="Heading3">
    <w:name w:val="Heading 3"/>
    <w:basedOn w:val="Normal"/>
    <w:next w:val="Normal"/>
    <w:qFormat/>
    <w:pPr>
      <w:spacing w:after="120" w:before="120"/>
      <w:outlineLvl w:val="2"/>
    </w:pPr>
    <w:rPr>
      <w:rFonts w:ascii="Arial" w:cs="Arial" w:eastAsia="Arial" w:hAnsi="Arial"/>
      <w:b/>
      <w:bCs/>
      <w:color w:val="3A6FA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2026-07-05T07:36:28.223Z</dcterms:created>
  <dcterms:modified xsi:type="dcterms:W3CDTF">2026-07-05T07:36:28.223Z</dcterms:modified>
</cp:coreProperties>
</file>

<file path=docProps/custom.xml><?xml version="1.0" encoding="utf-8"?>
<Properties xmlns="http://schemas.openxmlformats.org/officeDocument/2006/custom-properties" xmlns:vt="http://schemas.openxmlformats.org/officeDocument/2006/docPropsVTypes"/>
</file>