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4"/>
                <w:u w:val="none"/>
              </w:rPr>
              <w:t>NPCI</w:t>
            </w:r>
          </w:p>
        </w:tc>
        <w:tc>
          <w:tcPr>
            <w:tcW w:type="dxa" w:w="5220"/>
            <w:tcMar>
              <w:top w:w="0" w:type="dxa"/>
              <w:bottom w:w="0" w:type="dxa"/>
              <w:left w:w="0" w:type="dxa"/>
              <w:right w:w="0" w:type="dxa"/>
            </w:tcMar>
          </w:tcPr>
          <w:p/>
        </w:tc>
      </w:tr>
    </w:tbl>
    <w:p>
      <w:pPr>
        <w:pBdr>
          <w:bottom w:val="single" w:sz="6" w:space="1" w:color="1E40AF"/>
        </w:pBdr>
        <w:spacing w:before="4" w:after="4"/>
      </w:pPr>
    </w:p>
    <w:tbl>
      <w:tblPr>
        <w:tblW w:type="auto" w:w="0"/>
        <w:jc w:val="center"/>
        <w:tblLayout w:type="autofit"/>
        <w:tblLook w:firstColumn="1" w:firstRow="1" w:lastColumn="0" w:lastRow="0" w:noHBand="0" w:noVBand="1" w:val="04A0"/>
      </w:tblPr>
      <w:tblGrid>
        <w:gridCol w:w="5220"/>
        <w:gridCol w:w="5220"/>
      </w:tblGrid>
      <w:tr>
        <w:tc>
          <w:tcPr>
            <w:tcW w:type="dxa" w:w="5220"/>
            <w:tcMar>
              <w:top w:w="0" w:type="dxa"/>
              <w:bottom w:w="0" w:type="dxa"/>
              <w:left w:w="0" w:type="dxa"/>
              <w:right w:w="0" w:type="dxa"/>
            </w:tcMar>
          </w:tcPr>
          <w:p>
            <w:pPr>
              <w:jc w:val="left"/>
            </w:pPr>
            <w:r>
              <w:rPr>
                <w:rFonts w:ascii="Times New Roman" w:hAnsi="Times New Roman"/>
                <w:b/>
                <w:color w:val="0A0A0A"/>
                <w:sz w:val="22"/>
                <w:u w:val="none"/>
              </w:rPr>
              <w:t>NPCI/UPI/OC No. 001/2026-2027</w:t>
            </w:r>
          </w:p>
        </w:tc>
        <w:tc>
          <w:tcPr>
            <w:tcW w:type="dxa" w:w="5220"/>
            <w:tcMar>
              <w:top w:w="0" w:type="dxa"/>
              <w:bottom w:w="0" w:type="dxa"/>
              <w:left w:w="0" w:type="dxa"/>
              <w:right w:w="0" w:type="dxa"/>
            </w:tcMar>
          </w:tcPr>
          <w:p>
            <w:pPr>
              <w:jc w:val="right"/>
            </w:pPr>
            <w:r>
              <w:rPr>
                <w:rFonts w:ascii="Times New Roman" w:hAnsi="Times New Roman"/>
                <w:b/>
                <w:color w:val="0A0A0A"/>
                <w:sz w:val="22"/>
                <w:u w:val="none"/>
              </w:rPr>
              <w:t>15 April 2026</w:t>
            </w:r>
          </w:p>
        </w:tc>
      </w:tr>
    </w:tbl>
    <w:p/>
    <w:p>
      <w:r>
        <w:rPr>
          <w:rFonts w:ascii="Times New Roman" w:hAnsi="Times New Roman"/>
          <w:b/>
          <w:color w:val="0A0A0A"/>
          <w:sz w:val="22"/>
          <w:u w:val="none"/>
        </w:rPr>
        <w:t>To,</w:t>
      </w:r>
    </w:p>
    <w:p>
      <w:r>
        <w:rPr>
          <w:rFonts w:ascii="Times New Roman" w:hAnsi="Times New Roman"/>
          <w:b/>
          <w:color w:val="0A0A0A"/>
          <w:sz w:val="22"/>
          <w:u w:val="none"/>
        </w:rPr>
        <w:t>All Member Banks, PSP Banks and UPI Applications</w:t>
      </w:r>
    </w:p>
    <w:p>
      <w:pPr>
        <w:spacing w:before="8" w:after="10"/>
      </w:pPr>
      <w:r>
        <w:rPr>
          <w:rFonts w:ascii="Times New Roman" w:hAnsi="Times New Roman"/>
          <w:b/>
          <w:color w:val="0A0A0A"/>
          <w:sz w:val="22"/>
          <w:u w:val="single"/>
        </w:rPr>
        <w:t>Subject: UPI credit line on UPI for BNPL payments</w:t>
      </w:r>
    </w:p>
    <w:p>
      <w:pPr>
        <w:spacing w:before="0" w:after="8"/>
      </w:pPr>
      <w:r>
        <w:rPr>
          <w:rFonts w:ascii="Times New Roman" w:hAnsi="Times New Roman"/>
          <w:b w:val="0"/>
          <w:color w:val="0A0A0A"/>
          <w:sz w:val="22"/>
          <w:u w:val="none"/>
        </w:rPr>
        <w:t>Currently, the UPI ecosystem efficiently facilitates real-time payments through a well-established network of PSP Banks, Issuer Banks, and Beneficiary Banks. However, there is a growing demand for enhanced security measures, particularly in transactions authenticated via biometric methods. The existing framework lacks a standardized approach to manage biometric-authenticated transactions, leading to inconsistencies and potential security vulnerabilities. In response, the issuer has decided to implement a directive mandating the adoption of a uniform protocol for handling biometric-authenticated transactions, ensuring consistency and security across all member banks and PSPs.</w:t>
      </w:r>
    </w:p>
    <w:p>
      <w:pPr>
        <w:spacing w:before="0" w:after="8"/>
      </w:pPr>
      <w:r>
        <w:rPr>
          <w:rFonts w:ascii="Times New Roman" w:hAnsi="Times New Roman"/>
          <w:b w:val="0"/>
          <w:color w:val="0A0A0A"/>
          <w:sz w:val="22"/>
          <w:u w:val="none"/>
        </w:rPr>
        <w:t>NPCI has decided to enhance the UPI transaction flow by incorporating a new biometric authentication mechanism for REQ_PAY messages.</w:t>
      </w:r>
    </w:p>
    <w:p>
      <w:pPr>
        <w:spacing w:before="0" w:after="8"/>
      </w:pPr>
      <w:r>
        <w:rPr>
          <w:rFonts w:ascii="Times New Roman" w:hAnsi="Times New Roman"/>
          <w:b w:val="0"/>
          <w:color w:val="0A0A0A"/>
          <w:sz w:val="22"/>
          <w:u w:val="none"/>
        </w:rPr>
        <w:t>The affected technical artifacts include the REQ_PAY and RESP_PAY message types, which will now support biometric authentication as designated by refCategory='05'.</w:t>
      </w:r>
    </w:p>
    <w:p>
      <w:pPr>
        <w:spacing w:before="0" w:after="8"/>
      </w:pPr>
      <w:r>
        <w:rPr>
          <w:rFonts w:ascii="Times New Roman" w:hAnsi="Times New Roman"/>
          <w:b w:val="0"/>
          <w:color w:val="0A0A0A"/>
          <w:sz w:val="22"/>
          <w:u w:val="none"/>
        </w:rPr>
        <w:t>The Common Library (CL) will be updated to version 2.36 to accommodate the new biometric authentication capabilities, ensuring compatibility with the secure enclave on devices.</w:t>
      </w:r>
    </w:p>
    <w:p>
      <w:pPr>
        <w:spacing w:before="0" w:after="8"/>
      </w:pPr>
      <w:r>
        <w:rPr>
          <w:rFonts w:ascii="Times New Roman" w:hAnsi="Times New Roman"/>
          <w:b w:val="0"/>
          <w:color w:val="0A0A0A"/>
          <w:sz w:val="22"/>
          <w:u w:val="none"/>
        </w:rPr>
        <w:t>The UPI App's integration with the CL must be updated to handle the new CRED Block format, which will include biometric data for authentication purposes.</w:t>
      </w:r>
    </w:p>
    <w:p>
      <w:pPr>
        <w:spacing w:before="0" w:after="8"/>
      </w:pPr>
      <w:r>
        <w:rPr>
          <w:rFonts w:ascii="Times New Roman" w:hAnsi="Times New Roman"/>
          <w:b w:val="0"/>
          <w:color w:val="0A0A0A"/>
          <w:sz w:val="22"/>
          <w:u w:val="none"/>
        </w:rPr>
        <w:t>PSP Banks must ensure that their UPI Apps are updated to integrate the latest version of the Common Library (CL) provided by NPCI. This update is mandatory to support new authentication mechanisms, including biometric authentication where applicable.</w:t>
      </w:r>
    </w:p>
    <w:p>
      <w:pPr>
        <w:spacing w:before="0" w:after="8"/>
      </w:pPr>
      <w:r>
        <w:rPr>
          <w:rFonts w:ascii="Times New Roman" w:hAnsi="Times New Roman"/>
          <w:b w:val="0"/>
          <w:color w:val="0A0A0A"/>
          <w:sz w:val="22"/>
          <w:u w:val="none"/>
        </w:rPr>
        <w:t>Issuer/Remitter Banks must implement the necessary backend changes to process REQ_PAY messages with the updated CRED Block format. This includes handling transactions authenticated via biometric data, as indicated by refCategory='05'.</w:t>
      </w:r>
    </w:p>
    <w:p>
      <w:pPr>
        <w:spacing w:before="0" w:after="8"/>
      </w:pPr>
      <w:r>
        <w:rPr>
          <w:rFonts w:ascii="Times New Roman" w:hAnsi="Times New Roman"/>
          <w:b w:val="0"/>
          <w:color w:val="0A0A0A"/>
          <w:sz w:val="22"/>
          <w:u w:val="none"/>
        </w:rPr>
        <w:t>Beneficiary/Payee Banks must update their systems to accommodate the revised credit confirmation process. They must ensure timely processing and acknowledgment of RESP_PAY messages to maintain transaction integrity.</w:t>
      </w:r>
    </w:p>
    <w:p>
      <w:pPr>
        <w:spacing w:before="0" w:after="8"/>
      </w:pPr>
      <w:r>
        <w:rPr>
          <w:rFonts w:ascii="Times New Roman" w:hAnsi="Times New Roman"/>
          <w:b w:val="0"/>
          <w:color w:val="0A0A0A"/>
          <w:sz w:val="22"/>
          <w:u w:val="none"/>
        </w:rPr>
        <w:t>Third-Party Application Providers (TPAPs) are advised to work closely with their partner PSP Banks to ensure seamless integration of the updated UPI functionalities. They must also ensure that any user-facing changes are clearly communicated to end-users.</w:t>
      </w:r>
    </w:p>
    <w:p>
      <w:pPr>
        <w:spacing w:before="0" w:after="8"/>
      </w:pPr>
      <w:r>
        <w:rPr>
          <w:rFonts w:ascii="Times New Roman" w:hAnsi="Times New Roman"/>
          <w:b w:val="0"/>
          <w:color w:val="0A0A0A"/>
          <w:sz w:val="22"/>
          <w:u w:val="none"/>
        </w:rPr>
        <w:t>Please disseminate the information contained herein to the officials concerned.</w:t>
      </w:r>
    </w:p>
    <w:p/>
    <w:p>
      <w:pPr>
        <w:jc w:val="left"/>
      </w:pPr>
      <w:r>
        <w:rPr>
          <w:rFonts w:ascii="Times New Roman" w:hAnsi="Times New Roman"/>
          <w:b w:val="0"/>
          <w:color w:val="0A0A0A"/>
          <w:sz w:val="22"/>
          <w:u w:val="none"/>
        </w:rPr>
        <w:t>Yours Sincerely,</w:t>
      </w:r>
    </w:p>
    <w:p>
      <w:r>
        <w:rPr>
          <w:rFonts w:ascii="Times New Roman" w:hAnsi="Times New Roman"/>
          <w:b w:val="0"/>
          <w:color w:val="0A0A0A"/>
          <w:sz w:val="22"/>
          <w:u w:val="none"/>
        </w:rPr>
        <w:t>SD/-</w:t>
      </w:r>
    </w:p>
    <w:p>
      <w:r>
        <w:rPr>
          <w:rFonts w:ascii="Times New Roman" w:hAnsi="Times New Roman"/>
          <w:b/>
          <w:color w:val="0A0A0A"/>
          <w:sz w:val="22"/>
          <w:u w:val="none"/>
        </w:rPr>
        <w:t>Authorized Signatory</w:t>
      </w:r>
    </w:p>
    <w:p>
      <w:r>
        <w:rPr>
          <w:rFonts w:ascii="Times New Roman" w:hAnsi="Times New Roman"/>
          <w:b w:val="0"/>
          <w:color w:val="0A0A0A"/>
          <w:sz w:val="22"/>
          <w:u w:val="none"/>
        </w:rPr>
        <w:t>Senior Vice President</w:t>
      </w:r>
    </w:p>
    <w:p>
      <w:r>
        <w:rPr>
          <w:rFonts w:ascii="Times New Roman" w:hAnsi="Times New Roman"/>
          <w:b w:val="0"/>
          <w:color w:val="0A0A0A"/>
          <w:sz w:val="22"/>
          <w:u w:val="none"/>
        </w:rPr>
        <w:t>Product &amp; Operations</w:t>
      </w:r>
    </w:p>
    <w:sectPr w:rsidR="00FC693F" w:rsidRPr="0006063C" w:rsidSect="00034616">
      <w:footerReference w:type="default" r:id="rId9"/>
      <w:pgSz w:w="12240" w:h="15840"/>
      <w:pgMar w:top="720" w:right="720" w:bottom="72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374151"/>
        <w:sz w:val="16"/>
      </w:rPr>
      <w:t>1001A, The Capital, Bandra Kurla Complex, Bandra (East), Mumbai – 400051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