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코드와 함께 보는 시험 정리</w:t>
      </w:r>
    </w:p>
    <w:p>
      <w:r>
        <w:rPr>
          <w:sz w:val="18"/>
        </w:rPr>
        <w:t>기준 자료: A = 4장 영역 특징_3 (1).pptx 27쪽 · B = 5장 지역특징_1.pptx 34쪽</w:t>
      </w:r>
    </w:p>
    <w:p>
      <w:pPr>
        <w:pStyle w:val="Title"/>
      </w:pPr>
      <w:r>
        <w:t>영역 특징과 지역 특징</w:t>
      </w:r>
    </w:p>
    <w:p>
      <w:r>
        <w:t>기존 예제의 실행 흐름을 읽으면서 이론을 연결하는 공부 자료이다. 코드에는 단계별 설명을, 이 문서에는 수식·그림·비교·확인 문제를 모았다. 슬라이드 번호는 표지를 포함한 PowerPoint의 순서이다.</w:t>
      </w:r>
    </w:p>
    <w:tbl>
      <w:tblPr>
        <w:tblW w:type="auto" w:w="0"/>
        <w:jc w:val="center"/>
        <w:tblLayout w:type="fixed"/>
        <w:tblLook w:firstColumn="1" w:firstRow="1" w:lastColumn="0" w:lastRow="0" w:noHBand="0" w:noVBand="1" w:val="04A0"/>
      </w:tblPr>
      <w:tblGrid>
        <w:gridCol w:w="2880"/>
        <w:gridCol w:w="5472"/>
        <w:gridCol w:w="1728"/>
      </w:tblGrid>
      <w:tr>
        <w:trPr>
          <w:cantSplit/>
          <w:tblHeader/>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공부할 내용</w:t>
            </w:r>
          </w:p>
        </w:tc>
        <w:tc>
          <w:tcPr>
            <w:tcW w:type="dxa" w:w="54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관련 소스코드</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이 문서</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외곽선·모멘트·모양 기술자</w:t>
            </w:r>
          </w:p>
        </w:tc>
        <w:tc>
          <w:tcPr>
            <w:tcW w:type="dxa" w:w="54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ch4_8.py</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2~5쪽</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외곽선 필터링 실습</w:t>
            </w:r>
          </w:p>
        </w:tc>
        <w:tc>
          <w:tcPr>
            <w:tcW w:type="dxa" w:w="54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ch4_findContour_binsryGroup_실습용.py</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5, 15쪽</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히스토그램과 전역 텍스처</w:t>
            </w:r>
          </w:p>
        </w:tc>
        <w:tc>
          <w:tcPr>
            <w:tcW w:type="dxa" w:w="54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ch3_6.py</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6~8쪽</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미분과 커널 계산의 기초</w:t>
            </w:r>
          </w:p>
        </w:tc>
        <w:tc>
          <w:tcPr>
            <w:tcW w:type="dxa" w:w="54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ch4_1.py · ch3_7.py</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10~13쪽</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해리스 직접 구현</w:t>
            </w:r>
          </w:p>
        </w:tc>
        <w:tc>
          <w:tcPr>
            <w:tcW w:type="dxa" w:w="54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ch5_1.py  새로 추가</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10~12쪽</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OpenCV 해리스 함수</w:t>
            </w:r>
          </w:p>
        </w:tc>
        <w:tc>
          <w:tcPr>
            <w:tcW w:type="dxa" w:w="54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ch5_2.py  새로 추가</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13~14쪽</w:t>
            </w:r>
          </w:p>
        </w:tc>
      </w:tr>
    </w:tbl>
    <w:p>
      <w:pPr>
        <w:spacing w:after="0"/>
      </w:pPr>
    </w:p>
    <w:p>
      <w:pPr>
        <w:pStyle w:val="Heading2"/>
      </w:pPr>
      <w:r>
        <w:t>권장 공부 순서</w:t>
      </w:r>
    </w:p>
    <w:p>
      <w:r>
        <w:t>먼저 ch4_8.py의 외곽선 → 모멘트 → 기술자 순서를 읽는다. 이어서 ch5_1.py의 미분 → 구조 행렬 → 응답 → 비최대 억제를 따라가고, 마지막에 ch5_2.py와 비교한다.</w:t>
      </w:r>
    </w:p>
    <w:p>
      <w:r>
        <w:t>주석은 관련 코드 묶음 앞에 추가했다. 기존 5개 파일은 실행문을 유지했고, 새 5장 예제는 PPT의 배열·계산 순서를 따랐다. 표시용 uint8 변환에는 범위를 지키는 clip을 덧붙였다.</w:t>
      </w:r>
    </w:p>
    <w:p>
      <w:pPr>
        <w:pStyle w:val="Heading2"/>
      </w:pPr>
      <w:r>
        <w:t>자료의 범위</w:t>
      </w:r>
    </w:p>
    <w:p>
      <w:r>
        <w:t>A의 모멘트·경계 기술자·텍스처, B의 지역 특징 발상·모라벡·해리스·헤시안 비교를 다룬다. B의 차례에만 나오는 SIFT·매칭·호모그래피는 이 파일에서 본문으로 설명하지 않아 확장하지 않았다.</w:t>
      </w:r>
    </w:p>
    <w:p>
      <w:r>
        <w:t>텍스처의 GLCM·LBP·LTP와 Hu 모멘트는 기존 코드에 구현되어 있지 않다. 구현한 것으로 표시하지 않고 문서에서 공부할 이론으로 구분했다.</w:t>
      </w:r>
    </w:p>
    <w:p>
      <w:pPr>
        <w:pStyle w:val="Heading1"/>
        <w:pageBreakBefore/>
      </w:pPr>
      <w:r>
        <w:t>02  영역 표현과 불변성</w:t>
      </w:r>
    </w:p>
    <w:p>
      <w:r>
        <w:rPr>
          <w:sz w:val="18"/>
        </w:rPr>
        <w:t>PPT A 1~3쪽 · 연결 코드 ch4_8.py의 외곽선 추출</w:t>
      </w:r>
    </w:p>
    <w:p>
      <w:r>
        <w:t>영역을 픽셀 집합으로 보면 면적·밝기·텍스처 같은 내부 특성을 표현할 수 있다. 경계점의 배열로 보면 둘레·다각형·볼록 껍질 같은 모양을 표현하기 쉽다. 같은 물체도 과업에 따라 서로 다른 특징이 필요하다.</w:t>
      </w:r>
    </w:p>
    <w:tbl>
      <w:tblPr>
        <w:tblW w:type="auto" w:w="0"/>
        <w:jc w:val="center"/>
        <w:tblLayout w:type="fixed"/>
        <w:tblLook w:firstColumn="1" w:firstRow="1" w:lastColumn="0" w:lastRow="0" w:noHBand="0" w:noVBand="1" w:val="04A0"/>
      </w:tblPr>
      <w:tblGrid>
        <w:gridCol w:w="1512"/>
        <w:gridCol w:w="3744"/>
        <w:gridCol w:w="4824"/>
      </w:tblGrid>
      <w:tr>
        <w:trPr>
          <w:cantSplit/>
          <w:tblHeader/>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개념</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뜻</w:t>
            </w:r>
          </w:p>
        </w:tc>
        <w:tc>
          <w:tcPr>
            <w:tcW w:type="dxa" w:w="48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예</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불변성</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변환 후에도 특징값이 유지됨</w:t>
            </w:r>
          </w:p>
        </w:tc>
        <w:tc>
          <w:tcPr>
            <w:tcW w:type="dxa" w:w="48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면적은 이상적인 평면 회전에서 유지</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등변성</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변환에 맞춰 특징도 예측 가능하게 변함</w:t>
            </w:r>
          </w:p>
        </w:tc>
        <w:tc>
          <w:tcPr>
            <w:tcW w:type="dxa" w:w="48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이동하면 중심 좌표도 같은 양만큼 이동</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분별력</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서로 다른 물체를 구분하는 능력</w:t>
            </w:r>
          </w:p>
        </w:tc>
        <w:tc>
          <w:tcPr>
            <w:tcW w:type="dxa" w:w="48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면적만 같아도 모양·텍스처는 다를 수 있음</w:t>
            </w:r>
          </w:p>
        </w:tc>
      </w:tr>
    </w:tbl>
    <w:p>
      <w:pPr>
        <w:spacing w:after="0"/>
      </w:pPr>
    </w:p>
    <w:p>
      <w:pPr>
        <w:keepNext/>
        <w:spacing w:after="60"/>
        <w:jc w:val="center"/>
      </w:pPr>
      <w:r>
        <w:drawing>
          <wp:inline xmlns:a="http://schemas.openxmlformats.org/drawingml/2006/main" xmlns:pic="http://schemas.openxmlformats.org/drawingml/2006/picture">
            <wp:extent cx="2774602" cy="2971799"/>
            <wp:docPr id="1" name="Picture 1" descr="그림 1. 레이블 영역과 회전·축소·찌그러짐의 예. 출처: PPT A 1쪽."/>
            <wp:cNvGraphicFramePr>
              <a:graphicFrameLocks noChangeAspect="1"/>
            </wp:cNvGraphicFramePr>
            <a:graphic>
              <a:graphicData uri="http://schemas.openxmlformats.org/drawingml/2006/picture">
                <pic:pic>
                  <pic:nvPicPr>
                    <pic:cNvPr id="0" name="ch4_s1_1.png"/>
                    <pic:cNvPicPr/>
                  </pic:nvPicPr>
                  <pic:blipFill>
                    <a:blip r:embed="rId11"/>
                    <a:stretch>
                      <a:fillRect/>
                    </a:stretch>
                  </pic:blipFill>
                  <pic:spPr>
                    <a:xfrm>
                      <a:off x="0" y="0"/>
                      <a:ext cx="2774602" cy="2971799"/>
                    </a:xfrm>
                    <a:prstGeom prst="rect"/>
                  </pic:spPr>
                </pic:pic>
              </a:graphicData>
            </a:graphic>
          </wp:inline>
        </w:drawing>
      </w:r>
    </w:p>
    <w:p>
      <w:pPr>
        <w:pStyle w:val="Caption"/>
        <w:jc w:val="center"/>
      </w:pPr>
      <w:r>
        <w:t>그림 1. 레이블 영역과 회전·축소·찌그러짐의 예. 출처: PPT A 1쪽.</w:t>
      </w:r>
    </w:p>
    <w:p>
      <w:pPr>
        <w:spacing w:after="140"/>
        <w:jc w:val="center"/>
      </w:pPr>
      <m:oMathPara>
        <m:oMath>
          <m:r>
            <w:rPr>
              <w:rFonts w:ascii="Cambria Math" w:hAnsi="Cambria Math"/>
              <w:sz w:val="24"/>
            </w:rPr>
            <m:t>길이 배율 s에서:  </m:t>
          </m:r>
          <m:r>
            <w:rPr>
              <w:rFonts w:ascii="Cambria Math" w:hAnsi="Cambria Math"/>
              <w:sz w:val="24"/>
            </w:rPr>
            <m:t>면적 A′ = </m:t>
          </m:r>
          <m:sSup>
            <m:e>
              <m:r>
                <w:rPr>
                  <w:rFonts w:ascii="Cambria Math" w:hAnsi="Cambria Math"/>
                  <w:sz w:val="24"/>
                </w:rPr>
                <m:t>s</m:t>
              </m:r>
            </m:e>
            <m:sup>
              <m:r>
                <w:rPr>
                  <w:rFonts w:ascii="Cambria Math" w:hAnsi="Cambria Math"/>
                  <w:sz w:val="24"/>
                </w:rPr>
                <m:t>2</m:t>
              </m:r>
            </m:sup>
          </m:sSup>
          <m:r>
            <w:rPr>
              <w:rFonts w:ascii="Cambria Math" w:hAnsi="Cambria Math"/>
              <w:sz w:val="24"/>
            </w:rPr>
            <m:t>A,   둘레 P′ = sP</m:t>
          </m:r>
        </m:oMath>
      </m:oMathPara>
    </w:p>
    <w:p>
      <w:r>
        <w:t>균일한 확대·축소에서는 면적과 둘레가 함께 바뀐다. 회전·이동·균일 스케일 불변성이 있다고 해서 찌그러짐이나 원근 변환에도 불변이라는 뜻은 아니다. 실제 픽셀 영상에는 재표본화 오차도 생긴다.</w:t>
      </w:r>
    </w:p>
    <w:p>
      <w:pPr>
        <w:pStyle w:val="Heading1"/>
        <w:pageBreakBefore/>
      </w:pPr>
      <w:r>
        <w:t>03  모멘트와 중심 좌표</w:t>
      </w:r>
    </w:p>
    <w:p>
      <w:r>
        <w:rPr>
          <w:sz w:val="18"/>
        </w:rPr>
        <w:t>PPT A 4, 7, 14, 25쪽 · 연결 코드 ch4_8.py의 m, area, cx, cy</w:t>
      </w:r>
    </w:p>
    <w:p>
      <w:r>
        <w:t>모멘트는 픽셀 값이나 영역의 분포를 수치로 요약한다. 아래 식은 OpenCV의 x·y 관례로 통일했다. 이진 영상에서 f(x,y)=1이면 면적 중심, 명암 영상이면 밝기를 질량으로 본 중심이 된다.</w:t>
      </w:r>
    </w:p>
    <w:p>
      <w:pPr>
        <w:spacing w:after="140"/>
        <w:jc w:val="center"/>
      </w:pPr>
      <m:oMathPara>
        <m:oMath>
          <m:sSub>
            <m:e>
              <m:r>
                <w:rPr>
                  <w:rFonts w:ascii="Cambria Math" w:hAnsi="Cambria Math"/>
                  <w:sz w:val="24"/>
                </w:rPr>
                <m:t>m</m:t>
              </m:r>
            </m:e>
            <m:sub>
              <m:r>
                <w:rPr>
                  <w:rFonts w:ascii="Cambria Math" w:hAnsi="Cambria Math"/>
                  <w:sz w:val="24"/>
                </w:rPr>
                <m:t>pq</m:t>
              </m:r>
            </m:sub>
          </m:sSub>
          <m:r>
            <w:rPr>
              <w:rFonts w:ascii="Cambria Math" w:hAnsi="Cambria Math"/>
              <w:sz w:val="24"/>
            </w:rPr>
            <m:t> = </m:t>
          </m:r>
          <m:nary>
            <m:naryPr>
              <m:chr m:val="∑"/>
              <m:limLoc m:val="undOvr"/>
            </m:naryPr>
            <m:sub>
              <m:r>
                <w:rPr>
                  <w:rFonts w:ascii="Cambria Math" w:hAnsi="Cambria Math"/>
                  <w:sz w:val="24"/>
                </w:rPr>
                <m:t>x,y</m:t>
              </m:r>
            </m:sub>
            <m:sup>
              <m:r>
                <w:rPr>
                  <w:rFonts w:ascii="Cambria Math" w:hAnsi="Cambria Math"/>
                  <w:sz w:val="24"/>
                </w:rPr>
                <m:t/>
              </m:r>
            </m:sup>
            <m:e>
              <m:sSup>
                <m:e>
                  <m:r>
                    <w:rPr>
                      <w:rFonts w:ascii="Cambria Math" w:hAnsi="Cambria Math"/>
                      <w:sz w:val="24"/>
                    </w:rPr>
                    <m:t>x</m:t>
                  </m:r>
                </m:e>
                <m:sup>
                  <m:r>
                    <w:rPr>
                      <w:rFonts w:ascii="Cambria Math" w:hAnsi="Cambria Math"/>
                      <w:sz w:val="24"/>
                    </w:rPr>
                    <m:t>p</m:t>
                  </m:r>
                </m:sup>
              </m:sSup>
              <m:sSup>
                <m:e>
                  <m:r>
                    <w:rPr>
                      <w:rFonts w:ascii="Cambria Math" w:hAnsi="Cambria Math"/>
                      <w:sz w:val="24"/>
                    </w:rPr>
                    <m:t>y</m:t>
                  </m:r>
                </m:e>
                <m:sup>
                  <m:r>
                    <w:rPr>
                      <w:rFonts w:ascii="Cambria Math" w:hAnsi="Cambria Math"/>
                      <w:sz w:val="24"/>
                    </w:rPr>
                    <m:t>q</m:t>
                  </m:r>
                </m:sup>
              </m:sSup>
              <m:r>
                <w:rPr>
                  <w:rFonts w:ascii="Cambria Math" w:hAnsi="Cambria Math"/>
                  <w:sz w:val="24"/>
                </w:rPr>
                <m:t>f(x,y)</m:t>
              </m:r>
            </m:e>
          </m:nary>
        </m:oMath>
      </m:oMathPara>
    </w:p>
    <w:p>
      <w:pPr>
        <w:spacing w:after="140"/>
        <w:jc w:val="center"/>
      </w:pPr>
      <m:oMathPara>
        <m:oMath>
          <m:r>
            <w:rPr>
              <w:rFonts w:ascii="Cambria Math" w:hAnsi="Cambria Math"/>
              <w:sz w:val="24"/>
            </w:rPr>
            <m:t>A = </m:t>
          </m:r>
          <m:sSub>
            <m:e>
              <m:r>
                <w:rPr>
                  <w:rFonts w:ascii="Cambria Math" w:hAnsi="Cambria Math"/>
                  <w:sz w:val="24"/>
                </w:rPr>
                <m:t>m</m:t>
              </m:r>
            </m:e>
            <m:sub>
              <m:r>
                <w:rPr>
                  <w:rFonts w:ascii="Cambria Math" w:hAnsi="Cambria Math"/>
                  <w:sz w:val="24"/>
                </w:rPr>
                <m:t>00</m:t>
              </m:r>
            </m:sub>
          </m:sSub>
          <m:r>
            <w:rPr>
              <w:rFonts w:ascii="Cambria Math" w:hAnsi="Cambria Math"/>
              <w:sz w:val="24"/>
            </w:rPr>
            <m:t>,    </m:t>
          </m:r>
          <m:sSub>
            <m:e>
              <m:r>
                <w:rPr>
                  <w:rFonts w:ascii="Cambria Math" w:hAnsi="Cambria Math"/>
                  <w:sz w:val="24"/>
                </w:rPr>
                <m:t>c</m:t>
              </m:r>
            </m:e>
            <m:sub>
              <m:r>
                <w:rPr>
                  <w:rFonts w:ascii="Cambria Math" w:hAnsi="Cambria Math"/>
                  <w:sz w:val="24"/>
                </w:rPr>
                <m:t>x</m:t>
              </m:r>
            </m:sub>
          </m:sSub>
          <m:r>
            <w:rPr>
              <w:rFonts w:ascii="Cambria Math" w:hAnsi="Cambria Math"/>
              <w:sz w:val="24"/>
            </w:rPr>
            <m:t> = </m:t>
          </m:r>
          <m:f>
            <m:num>
              <m:sSub>
                <m:e>
                  <m:r>
                    <w:rPr>
                      <w:rFonts w:ascii="Cambria Math" w:hAnsi="Cambria Math"/>
                      <w:sz w:val="24"/>
                    </w:rPr>
                    <m:t>m</m:t>
                  </m:r>
                </m:e>
                <m:sub>
                  <m:r>
                    <w:rPr>
                      <w:rFonts w:ascii="Cambria Math" w:hAnsi="Cambria Math"/>
                      <w:sz w:val="24"/>
                    </w:rPr>
                    <m:t>10</m:t>
                  </m:r>
                </m:sub>
              </m:sSub>
            </m:num>
            <m:den>
              <m:sSub>
                <m:e>
                  <m:r>
                    <w:rPr>
                      <w:rFonts w:ascii="Cambria Math" w:hAnsi="Cambria Math"/>
                      <w:sz w:val="24"/>
                    </w:rPr>
                    <m:t>m</m:t>
                  </m:r>
                </m:e>
                <m:sub>
                  <m:r>
                    <w:rPr>
                      <w:rFonts w:ascii="Cambria Math" w:hAnsi="Cambria Math"/>
                      <w:sz w:val="24"/>
                    </w:rPr>
                    <m:t>00</m:t>
                  </m:r>
                </m:sub>
              </m:sSub>
            </m:den>
          </m:f>
          <m:r>
            <w:rPr>
              <w:rFonts w:ascii="Cambria Math" w:hAnsi="Cambria Math"/>
              <w:sz w:val="24"/>
            </w:rPr>
            <m:t>,    </m:t>
          </m:r>
          <m:sSub>
            <m:e>
              <m:r>
                <w:rPr>
                  <w:rFonts w:ascii="Cambria Math" w:hAnsi="Cambria Math"/>
                  <w:sz w:val="24"/>
                </w:rPr>
                <m:t>c</m:t>
              </m:r>
            </m:e>
            <m:sub>
              <m:r>
                <w:rPr>
                  <w:rFonts w:ascii="Cambria Math" w:hAnsi="Cambria Math"/>
                  <w:sz w:val="24"/>
                </w:rPr>
                <m:t>y</m:t>
              </m:r>
            </m:sub>
          </m:sSub>
          <m:r>
            <w:rPr>
              <w:rFonts w:ascii="Cambria Math" w:hAnsi="Cambria Math"/>
              <w:sz w:val="24"/>
            </w:rPr>
            <m:t> = </m:t>
          </m:r>
          <m:f>
            <m:num>
              <m:sSub>
                <m:e>
                  <m:r>
                    <w:rPr>
                      <w:rFonts w:ascii="Cambria Math" w:hAnsi="Cambria Math"/>
                      <w:sz w:val="24"/>
                    </w:rPr>
                    <m:t>m</m:t>
                  </m:r>
                </m:e>
                <m:sub>
                  <m:r>
                    <w:rPr>
                      <w:rFonts w:ascii="Cambria Math" w:hAnsi="Cambria Math"/>
                      <w:sz w:val="24"/>
                    </w:rPr>
                    <m:t>01</m:t>
                  </m:r>
                </m:sub>
              </m:sSub>
            </m:num>
            <m:den>
              <m:sSub>
                <m:e>
                  <m:r>
                    <w:rPr>
                      <w:rFonts w:ascii="Cambria Math" w:hAnsi="Cambria Math"/>
                      <w:sz w:val="24"/>
                    </w:rPr>
                    <m:t>m</m:t>
                  </m:r>
                </m:e>
                <m:sub>
                  <m:r>
                    <w:rPr>
                      <w:rFonts w:ascii="Cambria Math" w:hAnsi="Cambria Math"/>
                      <w:sz w:val="24"/>
                    </w:rPr>
                    <m:t>00</m:t>
                  </m:r>
                </m:sub>
              </m:sSub>
            </m:den>
          </m:f>
        </m:oMath>
      </m:oMathPara>
    </w:p>
    <w:p>
      <w:pPr>
        <w:spacing w:after="140"/>
        <w:jc w:val="center"/>
      </w:pPr>
      <m:oMathPara>
        <m:oMath>
          <m:sSub>
            <m:e>
              <m:r>
                <w:rPr>
                  <w:rFonts w:ascii="Cambria Math" w:hAnsi="Cambria Math"/>
                  <w:sz w:val="24"/>
                </w:rPr>
                <m:t>μ</m:t>
              </m:r>
            </m:e>
            <m:sub>
              <m:r>
                <w:rPr>
                  <w:rFonts w:ascii="Cambria Math" w:hAnsi="Cambria Math"/>
                  <w:sz w:val="24"/>
                </w:rPr>
                <m:t>pq</m:t>
              </m:r>
            </m:sub>
          </m:sSub>
          <m:r>
            <w:rPr>
              <w:rFonts w:ascii="Cambria Math" w:hAnsi="Cambria Math"/>
              <w:sz w:val="24"/>
            </w:rPr>
            <m:t> = </m:t>
          </m:r>
          <m:nary>
            <m:naryPr>
              <m:chr m:val="∑"/>
              <m:limLoc m:val="undOvr"/>
            </m:naryPr>
            <m:sub>
              <m:r>
                <w:rPr>
                  <w:rFonts w:ascii="Cambria Math" w:hAnsi="Cambria Math"/>
                  <w:sz w:val="24"/>
                </w:rPr>
                <m:t>x,y</m:t>
              </m:r>
            </m:sub>
            <m:sup>
              <m:r>
                <w:rPr>
                  <w:rFonts w:ascii="Cambria Math" w:hAnsi="Cambria Math"/>
                  <w:sz w:val="24"/>
                </w:rPr>
                <m:t/>
              </m:r>
            </m:sup>
            <m:e>
              <m:sSup>
                <m:e>
                  <m:r>
                    <w:rPr>
                      <w:rFonts w:ascii="Cambria Math" w:hAnsi="Cambria Math"/>
                      <w:sz w:val="24"/>
                    </w:rPr>
                    <m:t>(x−</m:t>
                  </m:r>
                  <m:sSub>
                    <m:e>
                      <m:r>
                        <w:rPr>
                          <w:rFonts w:ascii="Cambria Math" w:hAnsi="Cambria Math"/>
                          <w:sz w:val="24"/>
                        </w:rPr>
                        <m:t>c</m:t>
                      </m:r>
                    </m:e>
                    <m:sub>
                      <m:r>
                        <w:rPr>
                          <w:rFonts w:ascii="Cambria Math" w:hAnsi="Cambria Math"/>
                          <w:sz w:val="24"/>
                        </w:rPr>
                        <m:t>x</m:t>
                      </m:r>
                    </m:sub>
                  </m:sSub>
                  <m:r>
                    <w:rPr>
                      <w:rFonts w:ascii="Cambria Math" w:hAnsi="Cambria Math"/>
                      <w:sz w:val="24"/>
                    </w:rPr>
                    <m:t>)</m:t>
                  </m:r>
                </m:e>
                <m:sup>
                  <m:r>
                    <w:rPr>
                      <w:rFonts w:ascii="Cambria Math" w:hAnsi="Cambria Math"/>
                      <w:sz w:val="24"/>
                    </w:rPr>
                    <m:t>p</m:t>
                  </m:r>
                </m:sup>
              </m:sSup>
              <m:sSup>
                <m:e>
                  <m:r>
                    <w:rPr>
                      <w:rFonts w:ascii="Cambria Math" w:hAnsi="Cambria Math"/>
                      <w:sz w:val="24"/>
                    </w:rPr>
                    <m:t>(y−</m:t>
                  </m:r>
                  <m:sSub>
                    <m:e>
                      <m:r>
                        <w:rPr>
                          <w:rFonts w:ascii="Cambria Math" w:hAnsi="Cambria Math"/>
                          <w:sz w:val="24"/>
                        </w:rPr>
                        <m:t>c</m:t>
                      </m:r>
                    </m:e>
                    <m:sub>
                      <m:r>
                        <w:rPr>
                          <w:rFonts w:ascii="Cambria Math" w:hAnsi="Cambria Math"/>
                          <w:sz w:val="24"/>
                        </w:rPr>
                        <m:t>y</m:t>
                      </m:r>
                    </m:sub>
                  </m:sSub>
                  <m:r>
                    <w:rPr>
                      <w:rFonts w:ascii="Cambria Math" w:hAnsi="Cambria Math"/>
                      <w:sz w:val="24"/>
                    </w:rPr>
                    <m:t>)</m:t>
                  </m:r>
                </m:e>
                <m:sup>
                  <m:r>
                    <w:rPr>
                      <w:rFonts w:ascii="Cambria Math" w:hAnsi="Cambria Math"/>
                      <w:sz w:val="24"/>
                    </w:rPr>
                    <m:t>q</m:t>
                  </m:r>
                </m:sup>
              </m:sSup>
              <m:r>
                <w:rPr>
                  <w:rFonts w:ascii="Cambria Math" w:hAnsi="Cambria Math"/>
                  <w:sz w:val="24"/>
                </w:rPr>
                <m:t>f(x,y)</m:t>
              </m:r>
            </m:e>
          </m:nary>
        </m:oMath>
      </m:oMathPara>
    </w:p>
    <w:tbl>
      <w:tblPr>
        <w:tblW w:type="auto" w:w="0"/>
        <w:jc w:val="center"/>
        <w:tblLayout w:type="fixed"/>
        <w:tblLook w:firstColumn="1" w:firstRow="1" w:lastColumn="0" w:lastRow="0" w:noHBand="0" w:noVBand="1" w:val="04A0"/>
      </w:tblPr>
      <w:tblGrid>
        <w:gridCol w:w="2016"/>
        <w:gridCol w:w="3456"/>
        <w:gridCol w:w="4608"/>
      </w:tblGrid>
      <w:tr>
        <w:trPr>
          <w:cantSplit/>
          <w:tblHeader/>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OpenCV 이름</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의미</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기억할 점</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m00</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0차 모멘트, 질량/면적</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외곽선 입력에서는 다각형이 둘러싼 면적</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m10, m01</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x 가중합, y 가중합</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각각 m00으로 나누면 cx, cy</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mu20, mu02, mu11</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중심 기준의 분포</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이동을 제거한 x 퍼짐·y 퍼짐·교차 분포</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nu20 등</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정규화 중심 모멘트</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크기 영향도 보정한 값</w:t>
            </w:r>
          </w:p>
        </w:tc>
      </w:tr>
    </w:tbl>
    <w:p>
      <w:pPr>
        <w:spacing w:after="0"/>
      </w:pPr>
    </w:p>
    <w:p>
      <w:pPr>
        <w:pStyle w:val="Heading2"/>
      </w:pPr>
      <w:r>
        <w:t>작은 계산 예시</w:t>
      </w:r>
    </w:p>
    <w:p>
      <w:r>
        <w:t>값이 1인 픽셀이 (x,y)=(0,0), (1,0), (0,1)에만 있다고 하자. m00=3, m10=1, m01=1이므로 중심은 (1/3, 1/3)이다. 이는 픽셀 마스크의 합을 설명하는 예이며, 세 점을 외곽선 다각형으로 넘겨 면적을 계산하는 예가 아니다.</w:t>
      </w:r>
    </w:p>
    <w:p>
      <w:pPr>
        <w:pStyle w:val="Heading2"/>
      </w:pPr>
      <w:r>
        <w:t>좌표와 입력 형식을 구분하기</w:t>
      </w:r>
    </w:p>
    <w:p>
      <w:r>
        <w:t>PPT 4쪽은 (y,x)와 m_qp 표기를 사용하고, 14쪽의 OpenCV 설명은 x 우선의 m_ji 관례를 쓴다. 코드에서는 cx=m["m10"]/m["m00"], cy=m["m01"]/m["m00"]를 따른다. 배열 인덱스는 img[cy,cx]처럼 [행, 열]=[y,x]이다.</w:t>
      </w:r>
    </w:p>
    <w:p>
      <w:r>
        <w:t>마스크에 moments(mask, binaryImage=True)를 쓰면 모든 0이 아닌 픽셀을 1로 센다. 0/255 마스크에 기본값으로 적용하면 밝기 질량이 합산된다. m00=0인 퇴화 외곽선은 중심 나눗셈 전에 확인해야 한다.</w:t>
      </w:r>
    </w:p>
    <w:p>
      <w:pPr>
        <w:pStyle w:val="Heading1"/>
        <w:pageBreakBefore/>
      </w:pPr>
      <w:r>
        <w:t>04  정규화 모멘트와 Hu 모멘트</w:t>
      </w:r>
    </w:p>
    <w:p>
      <w:r>
        <w:rPr>
          <w:sz w:val="18"/>
        </w:rPr>
        <w:t>PPT A 5~6쪽 · ch4_8.py의 모멘트 계산에 연결되는 추가 이론</w:t>
      </w:r>
    </w:p>
    <w:p>
      <w:pPr>
        <w:spacing w:after="140"/>
        <w:jc w:val="center"/>
      </w:pPr>
      <m:oMathPara>
        <m:oMath>
          <m:sSub>
            <m:e>
              <m:r>
                <w:rPr>
                  <w:rFonts w:ascii="Cambria Math" w:hAnsi="Cambria Math"/>
                  <w:sz w:val="24"/>
                </w:rPr>
                <m:t>η</m:t>
              </m:r>
            </m:e>
            <m:sub>
              <m:r>
                <w:rPr>
                  <w:rFonts w:ascii="Cambria Math" w:hAnsi="Cambria Math"/>
                  <w:sz w:val="24"/>
                </w:rPr>
                <m:t>pq</m:t>
              </m:r>
            </m:sub>
          </m:sSub>
          <m:r>
            <w:rPr>
              <w:rFonts w:ascii="Cambria Math" w:hAnsi="Cambria Math"/>
              <w:sz w:val="24"/>
            </w:rPr>
            <m:t> = </m:t>
          </m:r>
          <m:f>
            <m:num>
              <m:sSub>
                <m:e>
                  <m:r>
                    <w:rPr>
                      <w:rFonts w:ascii="Cambria Math" w:hAnsi="Cambria Math"/>
                      <w:sz w:val="24"/>
                    </w:rPr>
                    <m:t>μ</m:t>
                  </m:r>
                </m:e>
                <m:sub>
                  <m:r>
                    <w:rPr>
                      <w:rFonts w:ascii="Cambria Math" w:hAnsi="Cambria Math"/>
                      <w:sz w:val="24"/>
                    </w:rPr>
                    <m:t>pq</m:t>
                  </m:r>
                </m:sub>
              </m:sSub>
            </m:num>
            <m:den>
              <m:sSup>
                <m:e>
                  <m:sSub>
                    <m:e>
                      <m:r>
                        <w:rPr>
                          <w:rFonts w:ascii="Cambria Math" w:hAnsi="Cambria Math"/>
                          <w:sz w:val="24"/>
                        </w:rPr>
                        <m:t>μ</m:t>
                      </m:r>
                    </m:e>
                    <m:sub>
                      <m:r>
                        <w:rPr>
                          <w:rFonts w:ascii="Cambria Math" w:hAnsi="Cambria Math"/>
                          <w:sz w:val="24"/>
                        </w:rPr>
                        <m:t>00</m:t>
                      </m:r>
                    </m:sub>
                  </m:sSub>
                </m:e>
                <m:sup>
                  <m:r>
                    <w:rPr>
                      <w:rFonts w:ascii="Cambria Math" w:hAnsi="Cambria Math"/>
                      <w:sz w:val="24"/>
                    </w:rPr>
                    <m:t>1 + </m:t>
                  </m:r>
                  <m:f>
                    <m:num>
                      <m:r>
                        <w:rPr>
                          <w:rFonts w:ascii="Cambria Math" w:hAnsi="Cambria Math"/>
                          <w:sz w:val="24"/>
                        </w:rPr>
                        <m:t>p+q</m:t>
                      </m:r>
                    </m:num>
                    <m:den>
                      <m:r>
                        <w:rPr>
                          <w:rFonts w:ascii="Cambria Math" w:hAnsi="Cambria Math"/>
                          <w:sz w:val="24"/>
                        </w:rPr>
                        <m:t>2</m:t>
                      </m:r>
                    </m:den>
                  </m:f>
                </m:sup>
              </m:sSup>
            </m:den>
          </m:f>
          <m:r>
            <w:rPr>
              <w:rFonts w:ascii="Cambria Math" w:hAnsi="Cambria Math"/>
              <w:sz w:val="24"/>
            </w:rPr>
            <m:t>    (p+q ≥ 2)</m:t>
          </m:r>
        </m:oMath>
      </m:oMathPara>
    </w:p>
    <w:p>
      <w:r>
        <w:t>중심 모멘트는 좌표에서 중심을 빼서 이동을 제거한다. 정규화 중심 모멘트는 면적의 거듭제곱으로 나누어 균일 스케일 영향을 보정한다. Hu 모멘트는 이 정규화 값들을 조합한 7개 특징이다.</w:t>
      </w:r>
    </w:p>
    <w:p>
      <w:pPr>
        <w:keepNext/>
        <w:spacing w:after="60"/>
        <w:jc w:val="center"/>
      </w:pPr>
      <w:r>
        <w:drawing>
          <wp:inline xmlns:a="http://schemas.openxmlformats.org/drawingml/2006/main" xmlns:pic="http://schemas.openxmlformats.org/drawingml/2006/picture">
            <wp:extent cx="5989320" cy="2968468"/>
            <wp:docPr id="2" name="Picture 2" descr="그림 2. Hu 모멘트 7개 식. 출처: PPT A 5쪽. η는 정규화 중심 모멘트이다."/>
            <wp:cNvGraphicFramePr>
              <a:graphicFrameLocks noChangeAspect="1"/>
            </wp:cNvGraphicFramePr>
            <a:graphic>
              <a:graphicData uri="http://schemas.openxmlformats.org/drawingml/2006/picture">
                <pic:pic>
                  <pic:nvPicPr>
                    <pic:cNvPr id="0" name="ch4_s5_2.png"/>
                    <pic:cNvPicPr/>
                  </pic:nvPicPr>
                  <pic:blipFill>
                    <a:blip r:embed="rId12"/>
                    <a:stretch>
                      <a:fillRect/>
                    </a:stretch>
                  </pic:blipFill>
                  <pic:spPr>
                    <a:xfrm>
                      <a:off x="0" y="0"/>
                      <a:ext cx="5989320" cy="2968468"/>
                    </a:xfrm>
                    <a:prstGeom prst="rect"/>
                  </pic:spPr>
                </pic:pic>
              </a:graphicData>
            </a:graphic>
          </wp:inline>
        </w:drawing>
      </w:r>
    </w:p>
    <w:p>
      <w:pPr>
        <w:pStyle w:val="Caption"/>
        <w:jc w:val="center"/>
      </w:pPr>
      <w:r>
        <w:t>그림 2. Hu 모멘트 7개 식. 출처: PPT A 5쪽. η는 정규화 중심 모멘트이다.</w:t>
      </w:r>
    </w:p>
    <w:p>
      <w:pPr>
        <w:pStyle w:val="Heading2"/>
      </w:pPr>
      <w:r>
        <w:t>시험에서 설명할 핵심</w:t>
      </w:r>
    </w:p>
    <w:p>
      <w:r>
        <w:t>Hu 모멘트는 이상적인 연속 영역에서 이동·회전·균일 확대/축소에 불변이다. 반사에서는 일곱 번째 값의 부호가 바뀔 수 있고, 실제 픽셀 영상에서는 회전·보간 때문에 수치가 조금 달라질 수 있다. 모든 기하 변형에 불변인 특징은 아니다.</w:t>
      </w:r>
    </w:p>
    <w:p>
      <w:pPr>
        <w:spacing w:after="140"/>
      </w:pPr>
      <w:r>
        <w:rPr>
          <w:rFonts w:ascii="Consolas" w:hAnsi="Consolas" w:eastAsia="맑은 고딕"/>
          <w:sz w:val="19"/>
        </w:rPr>
        <w:t>m = cv.moments(contour)</w:t>
      </w:r>
      <w:r>
        <w:rPr>
          <w:rFonts w:ascii="Consolas" w:hAnsi="Consolas" w:eastAsia="맑은 고딕"/>
          <w:sz w:val="19"/>
        </w:rPr>
        <w:br/>
        <w:t>hu = cv.HuMoments(m)</w:t>
      </w:r>
    </w:p>
    <w:p>
      <w:r>
        <w:t>위 두 줄은 이론과 함수를 연결하는 별도 참고 예시이다. 기존 ch4_8.py에는 HuMoments 호출이 없고, 현재 계산하는 둥근 정도와 Hu 모멘트도 서로 다른 특징이다.</w:t>
      </w:r>
    </w:p>
    <w:p>
      <w:r>
        <w:t>공식 대조: OpenCV Structural Analysis and Shape Descriptors의 HuMoments 설명. 링크는 문서 마지막 참고 자료에 있다.</w:t>
      </w:r>
    </w:p>
    <w:p>
      <w:pPr>
        <w:pStyle w:val="Heading1"/>
        <w:pageBreakBefore/>
      </w:pPr>
      <w:r>
        <w:t>05  둘레와 모양 기술자</w:t>
      </w:r>
    </w:p>
    <w:p>
      <w:r>
        <w:rPr>
          <w:sz w:val="18"/>
        </w:rPr>
        <w:t>PPT A 8~13, 25, 27쪽 · 연결 코드 ch4_8.py와 외곽선 실습 코드</w:t>
      </w:r>
    </w:p>
    <w:p>
      <w:pPr>
        <w:spacing w:after="140"/>
        <w:jc w:val="center"/>
      </w:pPr>
      <m:oMathPara>
        <m:oMath>
          <m:r>
            <w:rPr>
              <w:rFonts w:ascii="Cambria Math" w:hAnsi="Cambria Math"/>
              <w:sz w:val="24"/>
            </w:rPr>
            <m:t>P = </m:t>
          </m:r>
          <m:sSub>
            <m:e>
              <m:r>
                <w:rPr>
                  <w:rFonts w:ascii="Cambria Math" w:hAnsi="Cambria Math"/>
                  <w:sz w:val="24"/>
                </w:rPr>
                <m:t>n</m:t>
              </m:r>
            </m:e>
            <m:sub>
              <m:r>
                <w:rPr>
                  <w:rFonts w:ascii="Cambria Math" w:hAnsi="Cambria Math"/>
                  <w:sz w:val="24"/>
                </w:rPr>
                <m:t>수평·수직</m:t>
              </m:r>
            </m:sub>
          </m:sSub>
          <m:r>
            <w:rPr>
              <w:rFonts w:ascii="Cambria Math" w:hAnsi="Cambria Math"/>
              <w:sz w:val="24"/>
            </w:rPr>
            <m:t> + √2 </m:t>
          </m:r>
          <m:sSub>
            <m:e>
              <m:r>
                <w:rPr>
                  <w:rFonts w:ascii="Cambria Math" w:hAnsi="Cambria Math"/>
                  <w:sz w:val="24"/>
                </w:rPr>
                <m:t>n</m:t>
              </m:r>
            </m:e>
            <m:sub>
              <m:r>
                <w:rPr>
                  <w:rFonts w:ascii="Cambria Math" w:hAnsi="Cambria Math"/>
                  <w:sz w:val="24"/>
                </w:rPr>
                <m:t>대각선</m:t>
              </m:r>
            </m:sub>
          </m:sSub>
          <m:r>
            <w:rPr>
              <w:rFonts w:ascii="Cambria Math" w:hAnsi="Cambria Math"/>
              <w:sz w:val="24"/>
            </w:rPr>
            <m:t>,    둥근 정도 r = </m:t>
          </m:r>
          <m:f>
            <m:num>
              <m:r>
                <w:rPr>
                  <w:rFonts w:ascii="Cambria Math" w:hAnsi="Cambria Math"/>
                  <w:sz w:val="24"/>
                </w:rPr>
                <m:t>4πA</m:t>
              </m:r>
            </m:num>
            <m:den>
              <m:sSup>
                <m:e>
                  <m:r>
                    <w:rPr>
                      <w:rFonts w:ascii="Cambria Math" w:hAnsi="Cambria Math"/>
                      <w:sz w:val="24"/>
                    </w:rPr>
                    <m:t>P</m:t>
                  </m:r>
                </m:e>
                <m:sup>
                  <m:r>
                    <w:rPr>
                      <w:rFonts w:ascii="Cambria Math" w:hAnsi="Cambria Math"/>
                      <w:sz w:val="24"/>
                    </w:rPr>
                    <m:t>2</m:t>
                  </m:r>
                </m:sup>
              </m:sSup>
            </m:den>
          </m:f>
        </m:oMath>
      </m:oMathPara>
    </w:p>
    <w:p>
      <w:pPr>
        <w:spacing w:after="140"/>
        <w:jc w:val="center"/>
      </w:pPr>
      <m:oMathPara>
        <m:oMath>
          <m:r>
            <w:rPr>
              <w:rFonts w:ascii="Cambria Math" w:hAnsi="Cambria Math"/>
              <w:sz w:val="24"/>
            </w:rPr>
            <m:t>길쭉한 정도 e = </m:t>
          </m:r>
          <m:f>
            <m:num>
              <m:r>
                <w:rPr>
                  <w:rFonts w:ascii="Cambria Math" w:hAnsi="Cambria Math"/>
                  <w:sz w:val="24"/>
                </w:rPr>
                <m:t>A</m:t>
              </m:r>
            </m:num>
            <m:den>
              <m:sSup>
                <m:e>
                  <m:r>
                    <w:rPr>
                      <w:rFonts w:ascii="Cambria Math" w:hAnsi="Cambria Math"/>
                      <w:sz w:val="24"/>
                    </w:rPr>
                    <m:t>w</m:t>
                  </m:r>
                </m:e>
                <m:sup>
                  <m:r>
                    <w:rPr>
                      <w:rFonts w:ascii="Cambria Math" w:hAnsi="Cambria Math"/>
                      <w:sz w:val="24"/>
                    </w:rPr>
                    <m:t>2</m:t>
                  </m:r>
                </m:sup>
              </m:sSup>
            </m:den>
          </m:f>
          <m:r>
            <w:rPr>
              <w:rFonts w:ascii="Cambria Math" w:hAnsi="Cambria Math"/>
              <w:sz w:val="24"/>
            </w:rPr>
            <m:t>,    θ = </m:t>
          </m:r>
          <m:f>
            <m:num>
              <m:r>
                <w:rPr>
                  <w:rFonts w:ascii="Cambria Math" w:hAnsi="Cambria Math"/>
                  <w:sz w:val="24"/>
                </w:rPr>
                <m:t>1</m:t>
              </m:r>
            </m:num>
            <m:den>
              <m:r>
                <w:rPr>
                  <w:rFonts w:ascii="Cambria Math" w:hAnsi="Cambria Math"/>
                  <w:sz w:val="24"/>
                </w:rPr>
                <m:t>2</m:t>
              </m:r>
            </m:den>
          </m:f>
          <m:r>
            <w:rPr>
              <w:rFonts w:ascii="Cambria Math" w:hAnsi="Cambria Math"/>
              <w:sz w:val="24"/>
            </w:rPr>
            <m:t> atan2(2</m:t>
          </m:r>
          <m:sSub>
            <m:e>
              <m:r>
                <w:rPr>
                  <w:rFonts w:ascii="Cambria Math" w:hAnsi="Cambria Math"/>
                  <w:sz w:val="24"/>
                </w:rPr>
                <m:t>μ</m:t>
              </m:r>
            </m:e>
            <m:sub>
              <m:r>
                <w:rPr>
                  <w:rFonts w:ascii="Cambria Math" w:hAnsi="Cambria Math"/>
                  <w:sz w:val="24"/>
                </w:rPr>
                <m:t>11</m:t>
              </m:r>
            </m:sub>
          </m:sSub>
          <m:r>
            <w:rPr>
              <w:rFonts w:ascii="Cambria Math" w:hAnsi="Cambria Math"/>
              <w:sz w:val="24"/>
            </w:rPr>
            <m:t>, </m:t>
          </m:r>
          <m:sSub>
            <m:e>
              <m:r>
                <w:rPr>
                  <w:rFonts w:ascii="Cambria Math" w:hAnsi="Cambria Math"/>
                  <w:sz w:val="24"/>
                </w:rPr>
                <m:t>μ</m:t>
              </m:r>
            </m:e>
            <m:sub>
              <m:r>
                <w:rPr>
                  <w:rFonts w:ascii="Cambria Math" w:hAnsi="Cambria Math"/>
                  <w:sz w:val="24"/>
                </w:rPr>
                <m:t>20</m:t>
              </m:r>
            </m:sub>
          </m:sSub>
          <m:r>
            <w:rPr>
              <w:rFonts w:ascii="Cambria Math" w:hAnsi="Cambria Math"/>
              <w:sz w:val="24"/>
            </w:rPr>
            <m:t>−</m:t>
          </m:r>
          <m:sSub>
            <m:e>
              <m:r>
                <w:rPr>
                  <w:rFonts w:ascii="Cambria Math" w:hAnsi="Cambria Math"/>
                  <w:sz w:val="24"/>
                </w:rPr>
                <m:t>μ</m:t>
              </m:r>
            </m:e>
            <m:sub>
              <m:r>
                <w:rPr>
                  <w:rFonts w:ascii="Cambria Math" w:hAnsi="Cambria Math"/>
                  <w:sz w:val="24"/>
                </w:rPr>
                <m:t>02</m:t>
              </m:r>
            </m:sub>
          </m:sSub>
          <m:r>
            <w:rPr>
              <w:rFonts w:ascii="Cambria Math" w:hAnsi="Cambria Math"/>
              <w:sz w:val="24"/>
            </w:rPr>
            <m:t>)</m:t>
          </m:r>
        </m:oMath>
      </m:oMathPara>
    </w:p>
    <w:p>
      <w:r>
        <w:t>PPT의 체인 코드에서 수평·수직 이동은 거리 1, 대각 이동은 √2이다. 길쭉한 정도의 w는 강의에서 침식 횟수×2로 근사한 두께이다. θ는 OpenCV x축 기준 표기이며, 대칭 물체에서는 주축 방향이 불안정하거나 정의되지 않을 수 있다.</w:t>
      </w:r>
    </w:p>
    <w:tbl>
      <w:tblPr>
        <w:tblW w:type="auto" w:w="0"/>
        <w:jc w:val="center"/>
        <w:tblLayout w:type="fixed"/>
        <w:tblLook w:firstColumn="1" w:firstRow="1" w:lastColumn="0" w:lastRow="0" w:noHBand="0" w:noVBand="1" w:val="04A0"/>
      </w:tblPr>
      <w:tblGrid>
        <w:gridCol w:w="1728"/>
        <w:gridCol w:w="3600"/>
        <w:gridCol w:w="4752"/>
      </w:tblGrid>
      <w:tr>
        <w:trPr>
          <w:cantSplit/>
          <w:tblHeader/>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기술자</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함수 / 반환값</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의미와 파라미터</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경계 상자</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boundingRect / x,y,w,h</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영상 축에 평행. 회전 가능한 최소 면적 상자와 다름</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최소 둘러싼 원</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minEnclosingCircle / 중심, 반지름</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모든 점을 포함하는 최소 원. 실수값을 그릴 때 정수화</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근사 다각형</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approxPolyDP / 꼭짓점 배열</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epsilon은 최대 허용 거리. 커지면 보통 더 단순해짐</w:t>
            </w:r>
          </w:p>
        </w:tc>
      </w:tr>
      <w:tr>
        <w:trPr>
          <w:cantSplit/>
        </w:trPr>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볼록 껍질</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convexHull / 꼭짓점 배열</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전체를 감싸는 볼록 모양. 오목한 부분을 건너뜀</w:t>
            </w:r>
          </w:p>
        </w:tc>
      </w:tr>
    </w:tbl>
    <w:p>
      <w:pPr>
        <w:spacing w:after="0"/>
      </w:pPr>
    </w:p>
    <w:p>
      <w:pPr>
        <w:pStyle w:val="Heading2"/>
      </w:pPr>
      <w:r>
        <w:t>현재 실습 코드에서 구분할 것</w:t>
      </w:r>
    </w:p>
    <w:p>
      <w:r>
        <w:t>len(contour)는 경계점 개수이고 cv.arcLength(contour, True)는 점 사이 거리의 합이다. 대각선 길이가 √2이므로 둘은 일반적으로 다르다. PPT의 둘레 기준을 적용할 때는 arcLength가 맞다.</w:t>
      </w:r>
    </w:p>
    <w:p>
      <w:r>
        <w:t>실습 파일은 lcontours[0]으로 모멘트를 계산하면서 contours[0]으로 상자를 그린다. 필터링 전·후 배열을 섞으면 서로 다른 물체일 수 있다. 외곽선 반환 순서를 특정 스캔 순서나 크기 순서로 단정하지 말고 결과를 확인한다.</w:t>
      </w:r>
    </w:p>
    <w:p>
      <w:r>
        <w:t>이상적인 연속 도형의 원형도 4πA/P²는 원에서 1이다. 이진 픽셀 수 면적과 다른 방식의 둘레를 섞으면 1을 넘을 수도 있다. PPT의 이산 예와 OpenCV 외곽선 측정값의 차이를 구분한다.</w:t>
      </w:r>
    </w:p>
    <w:p>
      <w:pPr>
        <w:pStyle w:val="Heading1"/>
        <w:pageBreakBefore/>
      </w:pPr>
      <w:r>
        <w:t>06  전역 텍스처와 히스토그램</w:t>
      </w:r>
    </w:p>
    <w:p>
      <w:r>
        <w:rPr>
          <w:sz w:val="18"/>
        </w:rPr>
        <w:t>PPT A 15~17쪽 · 연결 코드 ch3_6.py의 calcHist</w:t>
      </w:r>
    </w:p>
    <w:p>
      <w:r>
        <w:t>텍스처는 반복되거나 통계적 규칙을 가진 무늬이다. 전역 기술자는 영역 전체의 분포를 요약한다. 히스토그램은 밝기 빈도는 알지만, 어느 픽셀이 어디에 있었는지는 알려 주지 않는다.</w:t>
      </w:r>
    </w:p>
    <w:p>
      <w:pPr>
        <w:spacing w:after="140"/>
        <w:jc w:val="center"/>
      </w:pPr>
      <m:oMathPara>
        <m:oMath>
          <m:r>
            <w:rPr>
              <w:rFonts w:ascii="Cambria Math" w:hAnsi="Cambria Math"/>
              <w:sz w:val="24"/>
            </w:rPr>
            <m:t>p(l) = </m:t>
          </m:r>
          <m:f>
            <m:num>
              <m:r>
                <w:rPr>
                  <w:rFonts w:ascii="Cambria Math" w:hAnsi="Cambria Math"/>
                  <w:sz w:val="24"/>
                </w:rPr>
                <m:t>h(l)</m:t>
              </m:r>
            </m:num>
            <m:den>
              <m:nary>
                <m:naryPr>
                  <m:chr m:val="∑"/>
                  <m:limLoc m:val="undOvr"/>
                </m:naryPr>
                <m:sub>
                  <m:r>
                    <w:rPr>
                      <w:rFonts w:ascii="Cambria Math" w:hAnsi="Cambria Math"/>
                      <w:sz w:val="24"/>
                    </w:rPr>
                    <m:t>i</m:t>
                  </m:r>
                </m:sub>
                <m:sup>
                  <m:r>
                    <w:rPr>
                      <w:rFonts w:ascii="Cambria Math" w:hAnsi="Cambria Math"/>
                      <w:sz w:val="24"/>
                    </w:rPr>
                    <m:t/>
                  </m:r>
                </m:sup>
                <m:e>
                  <m:r>
                    <w:rPr>
                      <w:rFonts w:ascii="Cambria Math" w:hAnsi="Cambria Math"/>
                      <w:sz w:val="24"/>
                    </w:rPr>
                    <m:t>h(i)</m:t>
                  </m:r>
                </m:e>
              </m:nary>
            </m:den>
          </m:f>
          <m:r>
            <w:rPr>
              <w:rFonts w:ascii="Cambria Math" w:hAnsi="Cambria Math"/>
              <w:sz w:val="24"/>
            </w:rPr>
            <m:t>,    m = </m:t>
          </m:r>
          <m:nary>
            <m:naryPr>
              <m:chr m:val="∑"/>
              <m:limLoc m:val="undOvr"/>
            </m:naryPr>
            <m:sub>
              <m:r>
                <w:rPr>
                  <w:rFonts w:ascii="Cambria Math" w:hAnsi="Cambria Math"/>
                  <w:sz w:val="24"/>
                </w:rPr>
                <m:t>l=0</m:t>
              </m:r>
            </m:sub>
            <m:sup>
              <m:r>
                <w:rPr>
                  <w:rFonts w:ascii="Cambria Math" w:hAnsi="Cambria Math"/>
                  <w:sz w:val="24"/>
                </w:rPr>
                <m:t>L−1</m:t>
              </m:r>
            </m:sup>
            <m:e>
              <m:r>
                <w:rPr>
                  <w:rFonts w:ascii="Cambria Math" w:hAnsi="Cambria Math"/>
                  <w:sz w:val="24"/>
                </w:rPr>
                <m:t>l p(l)</m:t>
              </m:r>
            </m:e>
          </m:nary>
        </m:oMath>
      </m:oMathPara>
    </w:p>
    <w:p>
      <w:pPr>
        <w:spacing w:after="140"/>
        <w:jc w:val="center"/>
      </w:pPr>
      <m:oMathPara>
        <m:oMath>
          <m:sSub>
            <m:e>
              <m:r>
                <w:rPr>
                  <w:rFonts w:ascii="Cambria Math" w:hAnsi="Cambria Math"/>
                  <w:sz w:val="24"/>
                </w:rPr>
                <m:t>μ</m:t>
              </m:r>
            </m:e>
            <m:sub>
              <m:r>
                <w:rPr>
                  <w:rFonts w:ascii="Cambria Math" w:hAnsi="Cambria Math"/>
                  <w:sz w:val="24"/>
                </w:rPr>
                <m:t>r</m:t>
              </m:r>
            </m:sub>
          </m:sSub>
          <m:r>
            <w:rPr>
              <w:rFonts w:ascii="Cambria Math" w:hAnsi="Cambria Math"/>
              <w:sz w:val="24"/>
            </w:rPr>
            <m:t> = </m:t>
          </m:r>
          <m:nary>
            <m:naryPr>
              <m:chr m:val="∑"/>
              <m:limLoc m:val="undOvr"/>
            </m:naryPr>
            <m:sub>
              <m:r>
                <w:rPr>
                  <w:rFonts w:ascii="Cambria Math" w:hAnsi="Cambria Math"/>
                  <w:sz w:val="24"/>
                </w:rPr>
                <m:t>l=0</m:t>
              </m:r>
            </m:sub>
            <m:sup>
              <m:r>
                <w:rPr>
                  <w:rFonts w:ascii="Cambria Math" w:hAnsi="Cambria Math"/>
                  <w:sz w:val="24"/>
                </w:rPr>
                <m:t>L−1</m:t>
              </m:r>
            </m:sup>
            <m:e>
              <m:sSup>
                <m:e>
                  <m:r>
                    <w:rPr>
                      <w:rFonts w:ascii="Cambria Math" w:hAnsi="Cambria Math"/>
                      <w:sz w:val="24"/>
                    </w:rPr>
                    <m:t>(l−m)</m:t>
                  </m:r>
                </m:e>
                <m:sup>
                  <m:r>
                    <w:rPr>
                      <w:rFonts w:ascii="Cambria Math" w:hAnsi="Cambria Math"/>
                      <w:sz w:val="24"/>
                    </w:rPr>
                    <m:t>r</m:t>
                  </m:r>
                </m:sup>
              </m:sSup>
              <m:r>
                <w:rPr>
                  <w:rFonts w:ascii="Cambria Math" w:hAnsi="Cambria Math"/>
                  <w:sz w:val="24"/>
                </w:rPr>
                <m:t>p(l)</m:t>
              </m:r>
            </m:e>
          </m:nary>
        </m:oMath>
      </m:oMathPara>
    </w:p>
    <w:p>
      <w:pPr>
        <w:spacing w:after="140"/>
        <w:jc w:val="center"/>
      </w:pPr>
      <m:oMathPara>
        <m:oMath>
          <m:r>
            <w:rPr>
              <w:rFonts w:ascii="Cambria Math" w:hAnsi="Cambria Math"/>
              <w:sz w:val="24"/>
            </w:rPr>
            <m:t>균일성 = </m:t>
          </m:r>
          <m:nary>
            <m:naryPr>
              <m:chr m:val="∑"/>
              <m:limLoc m:val="undOvr"/>
            </m:naryPr>
            <m:sub>
              <m:r>
                <w:rPr>
                  <w:rFonts w:ascii="Cambria Math" w:hAnsi="Cambria Math"/>
                  <w:sz w:val="24"/>
                </w:rPr>
                <m:t>l=0</m:t>
              </m:r>
            </m:sub>
            <m:sup>
              <m:r>
                <w:rPr>
                  <w:rFonts w:ascii="Cambria Math" w:hAnsi="Cambria Math"/>
                  <w:sz w:val="24"/>
                </w:rPr>
                <m:t>L−1</m:t>
              </m:r>
            </m:sup>
            <m:e>
              <m:sSup>
                <m:e>
                  <m:r>
                    <w:rPr>
                      <w:rFonts w:ascii="Cambria Math" w:hAnsi="Cambria Math"/>
                      <w:sz w:val="24"/>
                    </w:rPr>
                    <m:t>p(l)</m:t>
                  </m:r>
                </m:e>
                <m:sup>
                  <m:r>
                    <w:rPr>
                      <w:rFonts w:ascii="Cambria Math" w:hAnsi="Cambria Math"/>
                      <w:sz w:val="24"/>
                    </w:rPr>
                    <m:t>2</m:t>
                  </m:r>
                </m:sup>
              </m:sSup>
            </m:e>
          </m:nary>
          <m:r>
            <w:rPr>
              <w:rFonts w:ascii="Cambria Math" w:hAnsi="Cambria Math"/>
              <w:sz w:val="24"/>
            </w:rPr>
            <m:t>,    엔트로피 = −</m:t>
          </m:r>
          <m:nary>
            <m:naryPr>
              <m:chr m:val="∑"/>
              <m:limLoc m:val="undOvr"/>
            </m:naryPr>
            <m:sub>
              <m:r>
                <w:rPr>
                  <w:rFonts w:ascii="Cambria Math" w:hAnsi="Cambria Math"/>
                  <w:sz w:val="24"/>
                </w:rPr>
                <m:t>l=0</m:t>
              </m:r>
            </m:sub>
            <m:sup>
              <m:r>
                <w:rPr>
                  <w:rFonts w:ascii="Cambria Math" w:hAnsi="Cambria Math"/>
                  <w:sz w:val="24"/>
                </w:rPr>
                <m:t>L−1</m:t>
              </m:r>
            </m:sup>
            <m:e>
              <m:r>
                <w:rPr>
                  <w:rFonts w:ascii="Cambria Math" w:hAnsi="Cambria Math"/>
                  <w:sz w:val="24"/>
                </w:rPr>
                <m:t>p(l)</m:t>
              </m:r>
              <m:sSub>
                <m:e>
                  <m:r>
                    <w:rPr>
                      <w:rFonts w:ascii="Cambria Math" w:hAnsi="Cambria Math"/>
                      <w:sz w:val="24"/>
                    </w:rPr>
                    <m:t>log</m:t>
                  </m:r>
                </m:e>
                <m:sub>
                  <m:r>
                    <w:rPr>
                      <w:rFonts w:ascii="Cambria Math" w:hAnsi="Cambria Math"/>
                      <w:sz w:val="24"/>
                    </w:rPr>
                    <m:t>2</m:t>
                  </m:r>
                </m:sub>
              </m:sSub>
              <m:r>
                <w:rPr>
                  <w:rFonts w:ascii="Cambria Math" w:hAnsi="Cambria Math"/>
                  <w:sz w:val="24"/>
                </w:rPr>
                <m:t>p(l)</m:t>
              </m:r>
            </m:e>
          </m:nary>
        </m:oMath>
      </m:oMathPara>
    </w:p>
    <w:p>
      <w:pPr>
        <w:keepNext/>
        <w:spacing w:after="60"/>
        <w:jc w:val="center"/>
      </w:pPr>
      <w:r>
        <w:drawing>
          <wp:inline xmlns:a="http://schemas.openxmlformats.org/drawingml/2006/main" xmlns:pic="http://schemas.openxmlformats.org/drawingml/2006/picture">
            <wp:extent cx="5715000" cy="2040219"/>
            <wp:docPr id="3" name="Picture 3" descr="그림 3. 배열이 다르지만 밝기 히스토그램은 같은 세 무늬. 출처: PPT A 17쪽."/>
            <wp:cNvGraphicFramePr>
              <a:graphicFrameLocks noChangeAspect="1"/>
            </wp:cNvGraphicFramePr>
            <a:graphic>
              <a:graphicData uri="http://schemas.openxmlformats.org/drawingml/2006/picture">
                <pic:pic>
                  <pic:nvPicPr>
                    <pic:cNvPr id="0" name="ch4_s17_1.png"/>
                    <pic:cNvPicPr/>
                  </pic:nvPicPr>
                  <pic:blipFill>
                    <a:blip r:embed="rId13"/>
                    <a:stretch>
                      <a:fillRect/>
                    </a:stretch>
                  </pic:blipFill>
                  <pic:spPr>
                    <a:xfrm>
                      <a:off x="0" y="0"/>
                      <a:ext cx="5715000" cy="2040219"/>
                    </a:xfrm>
                    <a:prstGeom prst="rect"/>
                  </pic:spPr>
                </pic:pic>
              </a:graphicData>
            </a:graphic>
          </wp:inline>
        </w:drawing>
      </w:r>
    </w:p>
    <w:p>
      <w:pPr>
        <w:pStyle w:val="Caption"/>
        <w:jc w:val="center"/>
      </w:pPr>
      <w:r>
        <w:t>그림 3. 배열이 다르지만 밝기 히스토그램은 같은 세 무늬. 출처: PPT A 17쪽.</w:t>
      </w:r>
    </w:p>
    <w:p>
      <w:r>
        <w:t>평균은 밝기의 중심, 분산 μ2는 퍼짐, 강의의 skew=μ3는 비대칭을 나타내는 3차 중심 모멘트이다. 일반 통계의 표준화 왜도 μ3/σ³와 구별한다. 한 밝기에 집중될수록 균일성은 커지고, 고르게 퍼질수록 엔트로피는 커진다. p=0인 항은 0으로 처리한다.</w:t>
      </w:r>
    </w:p>
    <w:p>
      <w:pPr>
        <w:spacing w:after="140"/>
        <w:jc w:val="center"/>
      </w:pPr>
      <m:oMathPara>
        <m:oMath>
          <m:r>
            <w:rPr>
              <w:rFonts w:ascii="Cambria Math" w:hAnsi="Cambria Math"/>
              <w:sz w:val="24"/>
            </w:rPr>
            <m:t>강의의 smooth = 1 − </m:t>
          </m:r>
          <m:f>
            <m:num>
              <m:r>
                <w:rPr>
                  <w:rFonts w:ascii="Cambria Math" w:hAnsi="Cambria Math"/>
                  <w:sz w:val="24"/>
                </w:rPr>
                <m:t>1</m:t>
              </m:r>
            </m:num>
            <m:den>
              <m:r>
                <w:rPr>
                  <w:rFonts w:ascii="Cambria Math" w:hAnsi="Cambria Math"/>
                  <w:sz w:val="24"/>
                </w:rPr>
                <m:t>1 + </m:t>
              </m:r>
              <m:f>
                <m:num>
                  <m:sSub>
                    <m:e>
                      <m:r>
                        <w:rPr>
                          <w:rFonts w:ascii="Cambria Math" w:hAnsi="Cambria Math"/>
                          <w:sz w:val="24"/>
                        </w:rPr>
                        <m:t>μ</m:t>
                      </m:r>
                    </m:e>
                    <m:sub>
                      <m:r>
                        <w:rPr>
                          <w:rFonts w:ascii="Cambria Math" w:hAnsi="Cambria Math"/>
                          <w:sz w:val="24"/>
                        </w:rPr>
                        <m:t>2</m:t>
                      </m:r>
                    </m:sub>
                  </m:sSub>
                </m:num>
                <m:den>
                  <m:sSup>
                    <m:e>
                      <m:r>
                        <w:rPr>
                          <w:rFonts w:ascii="Cambria Math" w:hAnsi="Cambria Math"/>
                          <w:sz w:val="24"/>
                        </w:rPr>
                        <m:t>(L−1)</m:t>
                      </m:r>
                    </m:e>
                    <m:sup>
                      <m:r>
                        <w:rPr>
                          <w:rFonts w:ascii="Cambria Math" w:hAnsi="Cambria Math"/>
                          <w:sz w:val="24"/>
                        </w:rPr>
                        <m:t>2</m:t>
                      </m:r>
                    </m:sup>
                  </m:sSup>
                </m:den>
              </m:f>
            </m:den>
          </m:f>
        </m:oMath>
      </m:oMathPara>
    </w:p>
    <w:p>
      <w:r>
        <w:t>에지 기반 전역 특징은 에지 픽셀의 비율 busy, 강도 히스토그램, 8단계 방향 히스토그램으로 구성한다. ch4_1.py에서 구한 미분·강도는 이때의 기초 데이터지만 해당 히스토그램까지 구현한 코드는 아니다.</w:t>
      </w:r>
    </w:p>
    <w:p>
      <w:r>
        <w:t>ch3_6.py의 평활화는 대비 조절이다. 텍스처 추출과 동일하지 않다. 또한 calcHist 범위는 상한 제외이므로 8비트 전체 밝기 범위는 [0,256]이다. 기존 실행문에는 이 점을 주석으로 표시했다.</w:t>
      </w:r>
    </w:p>
    <w:p>
      <w:pPr>
        <w:pStyle w:val="Heading1"/>
        <w:pageBreakBefore/>
      </w:pPr>
      <w:r>
        <w:t>07  동시 발생 행렬과 이웃 관계</w:t>
      </w:r>
    </w:p>
    <w:p>
      <w:r>
        <w:rPr>
          <w:sz w:val="18"/>
        </w:rPr>
        <w:t>PPT A 18~19쪽 · 기존 코드에 없는 이론</w:t>
      </w:r>
    </w:p>
    <w:p>
      <w:r>
        <w:t>동시 발생 행렬 GLCM은 지정한 거리·방향으로 이웃한 픽셀 쌍의 밝기 빈도를 센다. 위치 자체는 남기지 않지만, 단순 히스토그램에 없는 이웃 관계를 반영한다. 밝기 단계 q와 이웃 정의가 바뀌면 행렬도 달라진다.</w:t>
      </w:r>
    </w:p>
    <w:p>
      <w:pPr>
        <w:keepNext/>
        <w:spacing w:after="60"/>
        <w:jc w:val="center"/>
      </w:pPr>
      <w:r>
        <w:drawing>
          <wp:inline xmlns:a="http://schemas.openxmlformats.org/drawingml/2006/main" xmlns:pic="http://schemas.openxmlformats.org/drawingml/2006/picture">
            <wp:extent cx="3072384" cy="1920240"/>
            <wp:docPr id="4" name="Picture 4" descr="그림 4. 바로 오른쪽 이웃을 세는 GLCM 예. 출처: PPT A 18쪽."/>
            <wp:cNvGraphicFramePr>
              <a:graphicFrameLocks noChangeAspect="1"/>
            </wp:cNvGraphicFramePr>
            <a:graphic>
              <a:graphicData uri="http://schemas.openxmlformats.org/drawingml/2006/picture">
                <pic:pic>
                  <pic:nvPicPr>
                    <pic:cNvPr id="0" name="ch4_s18_1.png"/>
                    <pic:cNvPicPr/>
                  </pic:nvPicPr>
                  <pic:blipFill>
                    <a:blip r:embed="rId14"/>
                    <a:stretch>
                      <a:fillRect/>
                    </a:stretch>
                  </pic:blipFill>
                  <pic:spPr>
                    <a:xfrm>
                      <a:off x="0" y="0"/>
                      <a:ext cx="3072384" cy="1920240"/>
                    </a:xfrm>
                    <a:prstGeom prst="rect"/>
                  </pic:spPr>
                </pic:pic>
              </a:graphicData>
            </a:graphic>
          </wp:inline>
        </w:drawing>
      </w:r>
    </w:p>
    <w:p>
      <w:pPr>
        <w:pStyle w:val="Caption"/>
        <w:jc w:val="center"/>
      </w:pPr>
      <w:r>
        <w:t>그림 4. 바로 오른쪽 이웃을 세는 GLCM 예. 출처: PPT A 18쪽.</w:t>
      </w:r>
    </w:p>
    <w:p>
      <w:pPr>
        <w:spacing w:after="140"/>
        <w:jc w:val="center"/>
      </w:pPr>
      <m:oMathPara>
        <m:oMath>
          <m:r>
            <w:rPr>
              <w:rFonts w:ascii="Cambria Math" w:hAnsi="Cambria Math"/>
              <w:sz w:val="24"/>
            </w:rPr>
            <m:t>P(i,j) = </m:t>
          </m:r>
          <m:f>
            <m:num>
              <m:r>
                <w:rPr>
                  <w:rFonts w:ascii="Cambria Math" w:hAnsi="Cambria Math"/>
                  <w:sz w:val="24"/>
                </w:rPr>
                <m:t>O(i,j)</m:t>
              </m:r>
            </m:num>
            <m:den>
              <m:nary>
                <m:naryPr>
                  <m:chr m:val="∑"/>
                  <m:limLoc m:val="undOvr"/>
                </m:naryPr>
                <m:sub>
                  <m:r>
                    <w:rPr>
                      <w:rFonts w:ascii="Cambria Math" w:hAnsi="Cambria Math"/>
                      <w:sz w:val="24"/>
                    </w:rPr>
                    <m:t>a,b</m:t>
                  </m:r>
                </m:sub>
                <m:sup>
                  <m:r>
                    <w:rPr>
                      <w:rFonts w:ascii="Cambria Math" w:hAnsi="Cambria Math"/>
                      <w:sz w:val="24"/>
                    </w:rPr>
                    <m:t/>
                  </m:r>
                </m:sup>
                <m:e>
                  <m:r>
                    <w:rPr>
                      <w:rFonts w:ascii="Cambria Math" w:hAnsi="Cambria Math"/>
                      <w:sz w:val="24"/>
                    </w:rPr>
                    <m:t>O(a,b)</m:t>
                  </m:r>
                </m:e>
              </m:nary>
            </m:den>
          </m:f>
        </m:oMath>
      </m:oMathPara>
    </w:p>
    <w:tbl>
      <w:tblPr>
        <w:tblW w:type="auto" w:w="0"/>
        <w:jc w:val="center"/>
        <w:tblLayout w:type="fixed"/>
        <w:tblLook w:firstColumn="1" w:firstRow="1" w:lastColumn="0" w:lastRow="0" w:noHBand="0" w:noVBand="1" w:val="04A0"/>
      </w:tblPr>
      <w:tblGrid>
        <w:gridCol w:w="1512"/>
        <w:gridCol w:w="4392"/>
        <w:gridCol w:w="4176"/>
      </w:tblGrid>
      <w:tr>
        <w:trPr>
          <w:cantSplit/>
          <w:tblHeader/>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특징</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수식의 핵심</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해석</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에너지</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pPr>
            <w:r/>
            <m:oMath>
              <m:nary>
                <m:naryPr>
                  <m:chr m:val="∑"/>
                  <m:limLoc m:val="undOvr"/>
                </m:naryPr>
                <m:sub>
                  <m:r>
                    <w:rPr>
                      <w:rFonts w:ascii="Cambria Math" w:hAnsi="Cambria Math"/>
                      <w:sz w:val="24"/>
                    </w:rPr>
                    <m:t>i,j</m:t>
                  </m:r>
                </m:sub>
                <m:sup>
                  <m:r>
                    <w:rPr>
                      <w:rFonts w:ascii="Cambria Math" w:hAnsi="Cambria Math"/>
                      <w:sz w:val="24"/>
                    </w:rPr>
                    <m:t/>
                  </m:r>
                </m:sup>
                <m:e>
                  <m:sSup>
                    <m:e>
                      <m:r>
                        <w:rPr>
                          <w:rFonts w:ascii="Cambria Math" w:hAnsi="Cambria Math"/>
                          <w:sz w:val="24"/>
                        </w:rPr>
                        <m:t>P(i,j)</m:t>
                      </m:r>
                    </m:e>
                    <m:sup>
                      <m:r>
                        <w:rPr>
                          <w:rFonts w:ascii="Cambria Math" w:hAnsi="Cambria Math"/>
                          <w:sz w:val="24"/>
                        </w:rPr>
                        <m:t>2</m:t>
                      </m:r>
                    </m:sup>
                  </m:sSup>
                </m:e>
              </m:nary>
            </m:oMath>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일부 밝기 쌍에 집중되면 큼</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엔트로피</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pPr>
            <w:r/>
            <m:oMath>
              <m:r>
                <w:rPr>
                  <w:rFonts w:ascii="Cambria Math" w:hAnsi="Cambria Math"/>
                  <w:sz w:val="24"/>
                </w:rPr>
                <m:t>−</m:t>
              </m:r>
              <m:nary>
                <m:naryPr>
                  <m:chr m:val="∑"/>
                  <m:limLoc m:val="undOvr"/>
                </m:naryPr>
                <m:sub>
                  <m:r>
                    <w:rPr>
                      <w:rFonts w:ascii="Cambria Math" w:hAnsi="Cambria Math"/>
                      <w:sz w:val="24"/>
                    </w:rPr>
                    <m:t>i,j</m:t>
                  </m:r>
                </m:sub>
                <m:sup>
                  <m:r>
                    <w:rPr>
                      <w:rFonts w:ascii="Cambria Math" w:hAnsi="Cambria Math"/>
                      <w:sz w:val="24"/>
                    </w:rPr>
                    <m:t/>
                  </m:r>
                </m:sup>
                <m:e>
                  <m:r>
                    <w:rPr>
                      <w:rFonts w:ascii="Cambria Math" w:hAnsi="Cambria Math"/>
                      <w:sz w:val="24"/>
                    </w:rPr>
                    <m:t>P(i,j)</m:t>
                  </m:r>
                  <m:sSub>
                    <m:e>
                      <m:r>
                        <w:rPr>
                          <w:rFonts w:ascii="Cambria Math" w:hAnsi="Cambria Math"/>
                          <w:sz w:val="24"/>
                        </w:rPr>
                        <m:t>log</m:t>
                      </m:r>
                    </m:e>
                    <m:sub>
                      <m:r>
                        <w:rPr>
                          <w:rFonts w:ascii="Cambria Math" w:hAnsi="Cambria Math"/>
                          <w:sz w:val="24"/>
                        </w:rPr>
                        <m:t>2</m:t>
                      </m:r>
                    </m:sub>
                  </m:sSub>
                  <m:r>
                    <w:rPr>
                      <w:rFonts w:ascii="Cambria Math" w:hAnsi="Cambria Math"/>
                      <w:sz w:val="24"/>
                    </w:rPr>
                    <m:t>P(i,j)</m:t>
                  </m:r>
                </m:e>
              </m:nary>
            </m:oMath>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밝기 쌍의 불확실성. 0 log 0은 0</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대비</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pPr>
            <w:r/>
            <m:oMath>
              <m:nary>
                <m:naryPr>
                  <m:chr m:val="∑"/>
                  <m:limLoc m:val="undOvr"/>
                </m:naryPr>
                <m:sub>
                  <m:r>
                    <w:rPr>
                      <w:rFonts w:ascii="Cambria Math" w:hAnsi="Cambria Math"/>
                      <w:sz w:val="24"/>
                    </w:rPr>
                    <m:t>i,j</m:t>
                  </m:r>
                </m:sub>
                <m:sup>
                  <m:r>
                    <w:rPr>
                      <w:rFonts w:ascii="Cambria Math" w:hAnsi="Cambria Math"/>
                      <w:sz w:val="24"/>
                    </w:rPr>
                    <m:t/>
                  </m:r>
                </m:sup>
                <m:e>
                  <m:sSup>
                    <m:e>
                      <m:r>
                        <w:rPr>
                          <w:rFonts w:ascii="Cambria Math" w:hAnsi="Cambria Math"/>
                          <w:sz w:val="24"/>
                        </w:rPr>
                        <m:t>(i−j)</m:t>
                      </m:r>
                    </m:e>
                    <m:sup>
                      <m:r>
                        <w:rPr>
                          <w:rFonts w:ascii="Cambria Math" w:hAnsi="Cambria Math"/>
                          <w:sz w:val="24"/>
                        </w:rPr>
                        <m:t>2</m:t>
                      </m:r>
                    </m:sup>
                  </m:sSup>
                  <m:r>
                    <w:rPr>
                      <w:rFonts w:ascii="Cambria Math" w:hAnsi="Cambria Math"/>
                      <w:sz w:val="24"/>
                    </w:rPr>
                    <m:t>P(i,j)</m:t>
                  </m:r>
                </m:e>
              </m:nary>
            </m:oMath>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밝기가 다른 이웃이 많을수록 큼</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동질성</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pPr>
            <w:r/>
            <m:oMath>
              <m:nary>
                <m:naryPr>
                  <m:chr m:val="∑"/>
                  <m:limLoc m:val="undOvr"/>
                </m:naryPr>
                <m:sub>
                  <m:r>
                    <w:rPr>
                      <w:rFonts w:ascii="Cambria Math" w:hAnsi="Cambria Math"/>
                      <w:sz w:val="24"/>
                    </w:rPr>
                    <m:t>i,j</m:t>
                  </m:r>
                </m:sub>
                <m:sup>
                  <m:r>
                    <w:rPr>
                      <w:rFonts w:ascii="Cambria Math" w:hAnsi="Cambria Math"/>
                      <w:sz w:val="24"/>
                    </w:rPr>
                    <m:t/>
                  </m:r>
                </m:sup>
                <m:e>
                  <m:f>
                    <m:num>
                      <m:r>
                        <w:rPr>
                          <w:rFonts w:ascii="Cambria Math" w:hAnsi="Cambria Math"/>
                          <w:sz w:val="24"/>
                        </w:rPr>
                        <m:t>P(i,j)</m:t>
                      </m:r>
                    </m:num>
                    <m:den>
                      <m:r>
                        <w:rPr>
                          <w:rFonts w:ascii="Cambria Math" w:hAnsi="Cambria Math"/>
                          <w:sz w:val="24"/>
                        </w:rPr>
                        <m:t>1+|i−j|</m:t>
                      </m:r>
                    </m:den>
                  </m:f>
                </m:e>
              </m:nary>
            </m:oMath>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이 강의의 정의. 대각선 부근에 모이면 큼</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상관관계</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pPr>
            <w:r/>
            <m:oMath>
              <m:nary>
                <m:naryPr>
                  <m:chr m:val="∑"/>
                  <m:limLoc m:val="undOvr"/>
                </m:naryPr>
                <m:sub>
                  <m:r>
                    <w:rPr>
                      <w:rFonts w:ascii="Cambria Math" w:hAnsi="Cambria Math"/>
                      <w:sz w:val="24"/>
                    </w:rPr>
                    <m:t>i,j</m:t>
                  </m:r>
                </m:sub>
                <m:sup>
                  <m:r>
                    <w:rPr>
                      <w:rFonts w:ascii="Cambria Math" w:hAnsi="Cambria Math"/>
                      <w:sz w:val="24"/>
                    </w:rPr>
                    <m:t/>
                  </m:r>
                </m:sup>
                <m:e>
                  <m:f>
                    <m:num>
                      <m:r>
                        <w:rPr>
                          <w:rFonts w:ascii="Cambria Math" w:hAnsi="Cambria Math"/>
                          <w:sz w:val="24"/>
                        </w:rPr>
                        <m:t>(i−</m:t>
                      </m:r>
                      <m:sSub>
                        <m:e>
                          <m:r>
                            <w:rPr>
                              <w:rFonts w:ascii="Cambria Math" w:hAnsi="Cambria Math"/>
                              <w:sz w:val="24"/>
                            </w:rPr>
                            <m:t>μ</m:t>
                          </m:r>
                        </m:e>
                        <m:sub>
                          <m:r>
                            <w:rPr>
                              <w:rFonts w:ascii="Cambria Math" w:hAnsi="Cambria Math"/>
                              <w:sz w:val="24"/>
                            </w:rPr>
                            <m:t>i</m:t>
                          </m:r>
                        </m:sub>
                      </m:sSub>
                      <m:r>
                        <w:rPr>
                          <w:rFonts w:ascii="Cambria Math" w:hAnsi="Cambria Math"/>
                          <w:sz w:val="24"/>
                        </w:rPr>
                        <m:t>)(j−</m:t>
                      </m:r>
                      <m:sSub>
                        <m:e>
                          <m:r>
                            <w:rPr>
                              <w:rFonts w:ascii="Cambria Math" w:hAnsi="Cambria Math"/>
                              <w:sz w:val="24"/>
                            </w:rPr>
                            <m:t>μ</m:t>
                          </m:r>
                        </m:e>
                        <m:sub>
                          <m:r>
                            <w:rPr>
                              <w:rFonts w:ascii="Cambria Math" w:hAnsi="Cambria Math"/>
                              <w:sz w:val="24"/>
                            </w:rPr>
                            <m:t>j</m:t>
                          </m:r>
                        </m:sub>
                      </m:sSub>
                      <m:r>
                        <w:rPr>
                          <w:rFonts w:ascii="Cambria Math" w:hAnsi="Cambria Math"/>
                          <w:sz w:val="24"/>
                        </w:rPr>
                        <m:t>)P(i,j)</m:t>
                      </m:r>
                    </m:num>
                    <m:den>
                      <m:sSub>
                        <m:e>
                          <m:r>
                            <w:rPr>
                              <w:rFonts w:ascii="Cambria Math" w:hAnsi="Cambria Math"/>
                              <w:sz w:val="24"/>
                            </w:rPr>
                            <m:t>σ</m:t>
                          </m:r>
                        </m:e>
                        <m:sub>
                          <m:r>
                            <w:rPr>
                              <w:rFonts w:ascii="Cambria Math" w:hAnsi="Cambria Math"/>
                              <w:sz w:val="24"/>
                            </w:rPr>
                            <m:t>i</m:t>
                          </m:r>
                        </m:sub>
                      </m:sSub>
                      <m:sSub>
                        <m:e>
                          <m:r>
                            <w:rPr>
                              <w:rFonts w:ascii="Cambria Math" w:hAnsi="Cambria Math"/>
                              <w:sz w:val="24"/>
                            </w:rPr>
                            <m:t>σ</m:t>
                          </m:r>
                        </m:e>
                        <m:sub>
                          <m:r>
                            <w:rPr>
                              <w:rFonts w:ascii="Cambria Math" w:hAnsi="Cambria Math"/>
                              <w:sz w:val="24"/>
                            </w:rPr>
                            <m:t>j</m:t>
                          </m:r>
                        </m:sub>
                      </m:sSub>
                    </m:den>
                  </m:f>
                </m:e>
              </m:nary>
            </m:oMath>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두 이웃 밝기의 선형 관계. 분산 0이면 별도 처리</w:t>
            </w:r>
          </w:p>
        </w:tc>
      </w:tr>
    </w:tbl>
    <w:p>
      <w:pPr>
        <w:spacing w:after="0"/>
      </w:pPr>
    </w:p>
    <w:p>
      <w:r>
        <w:t>합은 모든 i,j 밝기 쌍에 대해 계산한다. μi·σi와 μj·σj는 각각 행·열 주변 분포로 구한다. 일부 라이브러리는 동질성의 분모에 (i−j)²를 쓰므로 강의의 1+|i−j|와 구분한다.</w:t>
      </w:r>
    </w:p>
    <w:p>
      <w:pPr>
        <w:pStyle w:val="Heading1"/>
        <w:pageBreakBefore/>
      </w:pPr>
      <w:r>
        <w:t>08  LBP와 LTP</w:t>
      </w:r>
    </w:p>
    <w:p>
      <w:r>
        <w:rPr>
          <w:sz w:val="18"/>
        </w:rPr>
        <w:t>PPT A 20~23쪽 · 기존 코드에 없는 이론</w:t>
      </w:r>
    </w:p>
    <w:p>
      <w:r>
        <w:t>LBP는 중심 픽셀과 8개 이웃을 비교해 0/1을 만들고, 정한 순서의 비트에 가중치를 주어 0~255 정수로 바꾼다. 이 결과의 히스토그램이 텍스처 특징이다. 비트 순서와 동률 처리 규칙을 먼저 정해야 한다.</w:t>
      </w:r>
    </w:p>
    <w:p>
      <w:pPr>
        <w:spacing w:after="140"/>
        <w:jc w:val="center"/>
      </w:pPr>
      <m:oMathPara>
        <m:oMath>
          <m:r>
            <w:rPr>
              <w:rFonts w:ascii="Cambria Math" w:hAnsi="Cambria Math"/>
              <w:sz w:val="24"/>
            </w:rPr>
            <m:t>LBP = </m:t>
          </m:r>
          <m:nary>
            <m:naryPr>
              <m:chr m:val="∑"/>
              <m:limLoc m:val="undOvr"/>
            </m:naryPr>
            <m:sub>
              <m:r>
                <w:rPr>
                  <w:rFonts w:ascii="Cambria Math" w:hAnsi="Cambria Math"/>
                  <w:sz w:val="24"/>
                </w:rPr>
                <m:t>k=0</m:t>
              </m:r>
            </m:sub>
            <m:sup>
              <m:r>
                <w:rPr>
                  <w:rFonts w:ascii="Cambria Math" w:hAnsi="Cambria Math"/>
                  <w:sz w:val="24"/>
                </w:rPr>
                <m:t>7</m:t>
              </m:r>
            </m:sup>
            <m:e>
              <m:sSup>
                <m:e>
                  <m:r>
                    <w:rPr>
                      <w:rFonts w:ascii="Cambria Math" w:hAnsi="Cambria Math"/>
                      <w:sz w:val="24"/>
                    </w:rPr>
                    <m:t>2</m:t>
                  </m:r>
                </m:e>
                <m:sup>
                  <m:r>
                    <w:rPr>
                      <w:rFonts w:ascii="Cambria Math" w:hAnsi="Cambria Math"/>
                      <w:sz w:val="24"/>
                    </w:rPr>
                    <m:t>k</m:t>
                  </m:r>
                </m:sup>
              </m:sSup>
              <m:r>
                <w:rPr>
                  <w:rFonts w:ascii="Cambria Math" w:hAnsi="Cambria Math"/>
                  <w:sz w:val="24"/>
                </w:rPr>
                <m:t>s(</m:t>
              </m:r>
              <m:sSub>
                <m:e>
                  <m:r>
                    <w:rPr>
                      <w:rFonts w:ascii="Cambria Math" w:hAnsi="Cambria Math"/>
                      <w:sz w:val="24"/>
                    </w:rPr>
                    <m:t>g</m:t>
                  </m:r>
                </m:e>
                <m:sub>
                  <m:r>
                    <w:rPr>
                      <w:rFonts w:ascii="Cambria Math" w:hAnsi="Cambria Math"/>
                      <w:sz w:val="24"/>
                    </w:rPr>
                    <m:t>k</m:t>
                  </m:r>
                </m:sub>
              </m:sSub>
              <m:r>
                <w:rPr>
                  <w:rFonts w:ascii="Cambria Math" w:hAnsi="Cambria Math"/>
                  <w:sz w:val="24"/>
                </w:rPr>
                <m:t>−</m:t>
              </m:r>
              <m:sSub>
                <m:e>
                  <m:r>
                    <w:rPr>
                      <w:rFonts w:ascii="Cambria Math" w:hAnsi="Cambria Math"/>
                      <w:sz w:val="24"/>
                    </w:rPr>
                    <m:t>g</m:t>
                  </m:r>
                </m:e>
                <m:sub>
                  <m:r>
                    <w:rPr>
                      <w:rFonts w:ascii="Cambria Math" w:hAnsi="Cambria Math"/>
                      <w:sz w:val="24"/>
                    </w:rPr>
                    <m:t>c</m:t>
                  </m:r>
                </m:sub>
              </m:sSub>
              <m:r>
                <w:rPr>
                  <w:rFonts w:ascii="Cambria Math" w:hAnsi="Cambria Math"/>
                  <w:sz w:val="24"/>
                </w:rPr>
                <m:t>)</m:t>
              </m:r>
            </m:e>
          </m:nary>
          <m:r>
            <w:rPr>
              <w:rFonts w:ascii="Cambria Math" w:hAnsi="Cambria Math"/>
              <w:sz w:val="24"/>
            </w:rPr>
            <m:t>,    s(t)=1 (t≥0), 0 (t&lt;0)</m:t>
          </m:r>
        </m:oMath>
      </m:oMathPara>
    </w:p>
    <w:p>
      <w:pPr>
        <w:keepNext/>
        <w:spacing w:after="60"/>
        <w:jc w:val="center"/>
      </w:pPr>
      <w:r>
        <w:drawing>
          <wp:inline xmlns:a="http://schemas.openxmlformats.org/drawingml/2006/main" xmlns:pic="http://schemas.openxmlformats.org/drawingml/2006/picture">
            <wp:extent cx="4537237" cy="1737360"/>
            <wp:docPr id="5" name="Picture 5" descr="그림 5. 강의의 비교 비트와 이진수→십진수 예. 출처: PPT A 20쪽."/>
            <wp:cNvGraphicFramePr>
              <a:graphicFrameLocks noChangeAspect="1"/>
            </wp:cNvGraphicFramePr>
            <a:graphic>
              <a:graphicData uri="http://schemas.openxmlformats.org/drawingml/2006/picture">
                <pic:pic>
                  <pic:nvPicPr>
                    <pic:cNvPr id="0" name="ch4_s20_1.png"/>
                    <pic:cNvPicPr/>
                  </pic:nvPicPr>
                  <pic:blipFill>
                    <a:blip r:embed="rId15"/>
                    <a:stretch>
                      <a:fillRect/>
                    </a:stretch>
                  </pic:blipFill>
                  <pic:spPr>
                    <a:xfrm>
                      <a:off x="0" y="0"/>
                      <a:ext cx="4537237" cy="1737360"/>
                    </a:xfrm>
                    <a:prstGeom prst="rect"/>
                  </pic:spPr>
                </pic:pic>
              </a:graphicData>
            </a:graphic>
          </wp:inline>
        </w:drawing>
      </w:r>
    </w:p>
    <w:p>
      <w:pPr>
        <w:pStyle w:val="Caption"/>
        <w:jc w:val="center"/>
      </w:pPr>
      <w:r>
        <w:t>그림 5. 강의의 비교 비트와 이진수→십진수 예. 출처: PPT A 20쪽.</w:t>
      </w:r>
    </w:p>
    <w:p>
      <w:r>
        <w:t>균일한 영역에서는 작은 잡음도 비트를 뒤집는다. LTP는 중심 p 주위에 허용 폭 t를 두고, 이웃이 p−t보다 작으면 −1, p+t보다 크면 +1, 그 사이와 양 끝에서는 0으로 둔다.</w:t>
      </w:r>
    </w:p>
    <w:p>
      <w:pPr>
        <w:keepNext/>
        <w:spacing w:after="60"/>
        <w:jc w:val="center"/>
      </w:pPr>
      <w:r>
        <w:drawing>
          <wp:inline xmlns:a="http://schemas.openxmlformats.org/drawingml/2006/main" xmlns:pic="http://schemas.openxmlformats.org/drawingml/2006/picture">
            <wp:extent cx="5164982" cy="1737360"/>
            <wp:docPr id="6" name="Picture 6" descr="그림 6. t=5인 LTP를 양수·음수 두 패턴으로 분리. 출처: PPT A 22쪽."/>
            <wp:cNvGraphicFramePr>
              <a:graphicFrameLocks noChangeAspect="1"/>
            </wp:cNvGraphicFramePr>
            <a:graphic>
              <a:graphicData uri="http://schemas.openxmlformats.org/drawingml/2006/picture">
                <pic:pic>
                  <pic:nvPicPr>
                    <pic:cNvPr id="0" name="ch4_s22_1.png"/>
                    <pic:cNvPicPr/>
                  </pic:nvPicPr>
                  <pic:blipFill>
                    <a:blip r:embed="rId16"/>
                    <a:stretch>
                      <a:fillRect/>
                    </a:stretch>
                  </pic:blipFill>
                  <pic:spPr>
                    <a:xfrm>
                      <a:off x="0" y="0"/>
                      <a:ext cx="5164982" cy="1737360"/>
                    </a:xfrm>
                    <a:prstGeom prst="rect"/>
                  </pic:spPr>
                </pic:pic>
              </a:graphicData>
            </a:graphic>
          </wp:inline>
        </w:drawing>
      </w:r>
    </w:p>
    <w:p>
      <w:pPr>
        <w:pStyle w:val="Caption"/>
        <w:jc w:val="center"/>
      </w:pPr>
      <w:r>
        <w:t>그림 6. t=5인 LTP를 양수·음수 두 패턴으로 분리. 출처: PPT A 22쪽.</w:t>
      </w:r>
    </w:p>
    <w:p>
      <w:r>
        <w:t>LTP의 +1 위치와 −1 위치를 두 개의 8비트 패턴으로 나누면 각각 256-bin 히스토그램, 연결하면 512차원이다. LBP를 얼굴의 여러 구역에 적용하고 구역별 히스토그램을 연결하면 대략적인 공간 배치도 반영할 수 있다.</w:t>
      </w:r>
    </w:p>
    <w:p>
      <w:r>
        <w:t>엄격히 단조 증가하는 밝기 변환은 LBP의 대소 관계를 보존하지만, 잡음·양자화에는 영향받는다. 고정 t인 LTP는 밝기 배율 변화에 항상 불변하지 않다. 다양한 반경은 여러 스케일의 무늬를 포착하며, 이것만으로 완전한 스케일 불변성이 자동 보장되지는 않는다.</w:t>
      </w:r>
    </w:p>
    <w:p>
      <w:pPr>
        <w:pStyle w:val="Heading1"/>
        <w:pageBreakBefore/>
      </w:pPr>
      <w:r>
        <w:t>09  지역 특징과 대응점</w:t>
      </w:r>
    </w:p>
    <w:p>
      <w:r>
        <w:rPr>
          <w:sz w:val="18"/>
        </w:rPr>
        <w:t>PPT B 2~8쪽 · 다음 장의 해리스 예제를 읽기 위한 발상</w:t>
      </w:r>
    </w:p>
    <w:p>
      <w:r>
        <w:t>대응점은 같은 장면의 서로 다른 영상에서 같은 실제 지점에 해당하는 점의 쌍이다. 파노라마·추적·스테레오 등에 필요하다. 검출은 점을 찾는 단계, 기술은 주변을 벡터로 표현하는 단계, 매칭은 벡터를 비교해 짝을 고르는 단계이다.</w:t>
      </w:r>
    </w:p>
    <w:p>
      <w:pPr>
        <w:keepNext/>
        <w:spacing w:after="60"/>
        <w:jc w:val="center"/>
      </w:pPr>
      <w:r>
        <w:drawing>
          <wp:inline xmlns:a="http://schemas.openxmlformats.org/drawingml/2006/main" xmlns:pic="http://schemas.openxmlformats.org/drawingml/2006/picture">
            <wp:extent cx="5760720" cy="2111746"/>
            <wp:docPr id="7" name="Picture 7" descr="그림 7. 검출한 위치의 스케일·방향을 정규화해 패치로 기술하는 예. 출처: PPT B 6쪽."/>
            <wp:cNvGraphicFramePr>
              <a:graphicFrameLocks noChangeAspect="1"/>
            </wp:cNvGraphicFramePr>
            <a:graphic>
              <a:graphicData uri="http://schemas.openxmlformats.org/drawingml/2006/picture">
                <pic:pic>
                  <pic:nvPicPr>
                    <pic:cNvPr id="0" name="ch5_s6_2.png"/>
                    <pic:cNvPicPr/>
                  </pic:nvPicPr>
                  <pic:blipFill>
                    <a:blip r:embed="rId17"/>
                    <a:stretch>
                      <a:fillRect/>
                    </a:stretch>
                  </pic:blipFill>
                  <pic:spPr>
                    <a:xfrm>
                      <a:off x="0" y="0"/>
                      <a:ext cx="5760720" cy="2111746"/>
                    </a:xfrm>
                    <a:prstGeom prst="rect"/>
                  </pic:spPr>
                </pic:pic>
              </a:graphicData>
            </a:graphic>
          </wp:inline>
        </w:drawing>
      </w:r>
    </w:p>
    <w:p>
      <w:pPr>
        <w:pStyle w:val="Caption"/>
        <w:jc w:val="center"/>
      </w:pPr>
      <w:r>
        <w:t>그림 7. 검출한 위치의 스케일·방향을 정규화해 패치로 기술하는 예. 출처: PPT B 6쪽.</w:t>
      </w:r>
    </w:p>
    <w:p>
      <w:pPr>
        <w:spacing w:after="140"/>
        <w:jc w:val="center"/>
      </w:pPr>
      <m:oMathPara>
        <m:oMath>
          <m:r>
            <w:rPr>
              <w:rFonts w:ascii="Cambria Math" w:hAnsi="Cambria Math"/>
              <w:sz w:val="24"/>
            </w:rPr>
            <m:t>지역 특징 = (위치, 스케일, 방향, 특징 벡터)</m:t>
          </m:r>
        </m:oMath>
      </m:oMathPara>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좋은 특징의 조건</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뜻</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반복성</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시점·조명 등이 달라져도 같은 실제 지점이 다시 검출됨</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분별력</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다른 지점의 기술자와 구별됨</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지역성</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좁은 영역을 보아 가려짐 등의 영향을 줄임</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정확성</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검출 위치·스케일 등이 실제 특징을 잘 나타냄</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적당한 양</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매칭할 만큼 충분하되 불필요하게 많지 않음</w:t>
            </w:r>
          </w:p>
        </w:tc>
      </w:tr>
      <w:tr>
        <w:trPr>
          <w:cantSplit/>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계산 효율</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용도에 맞는 시간과 비용으로 처리함</w:t>
            </w:r>
          </w:p>
        </w:tc>
      </w:tr>
    </w:tbl>
    <w:p>
      <w:pPr>
        <w:spacing w:after="0"/>
      </w:pPr>
    </w:p>
    <w:p>
      <w:r>
        <w:t>이 조건은 모두 동시에 극대화하기 어렵다. 넓은 패치를 보면 분별력은 좋아질 수 있지만 지역성은 약해진다. 실시간 추적과 오프라인 정밀 분석은 우선순위가 다르다.</w:t>
      </w:r>
    </w:p>
    <w:p>
      <w:r>
        <w:t>지역 특징은 물체의 실제 모퉁이에만 있을 필요가 없다. 여러 영상에서 반복적으로 찾을 수 있는 지점이 중요하다. 현재 해리스 코드는 검출 단계에 해당하며 기술자 생성·매칭까지 수행하지 않는다.</w:t>
      </w:r>
    </w:p>
    <w:p>
      <w:pPr>
        <w:pStyle w:val="Heading1"/>
        <w:pageBreakBefore/>
      </w:pPr>
      <w:r>
        <w:t>10  모라벡에서 해리스로</w:t>
      </w:r>
    </w:p>
    <w:p>
      <w:r>
        <w:rPr>
          <w:sz w:val="18"/>
        </w:rPr>
        <w:t>PPT B 8~18쪽 · 연결 코드 ch4_1.py, ch3_7.py, ch5_1.py</w:t>
      </w:r>
    </w:p>
    <w:p>
      <w:pPr>
        <w:keepNext/>
        <w:spacing w:after="60"/>
        <w:jc w:val="center"/>
      </w:pPr>
      <w:r>
        <w:drawing>
          <wp:inline xmlns:a="http://schemas.openxmlformats.org/drawingml/2006/main" xmlns:pic="http://schemas.openxmlformats.org/drawingml/2006/picture">
            <wp:extent cx="3838802" cy="2011680"/>
            <wp:docPr id="8" name="Picture 8" descr="그림 8. 모퉁이·에지·평탄 영역의 지역 패치 비교. 출처: PPT B 8쪽."/>
            <wp:cNvGraphicFramePr>
              <a:graphicFrameLocks noChangeAspect="1"/>
            </wp:cNvGraphicFramePr>
            <a:graphic>
              <a:graphicData uri="http://schemas.openxmlformats.org/drawingml/2006/picture">
                <pic:pic>
                  <pic:nvPicPr>
                    <pic:cNvPr id="0" name="ch5_s8_1.png"/>
                    <pic:cNvPicPr/>
                  </pic:nvPicPr>
                  <pic:blipFill>
                    <a:blip r:embed="rId18"/>
                    <a:stretch>
                      <a:fillRect/>
                    </a:stretch>
                  </pic:blipFill>
                  <pic:spPr>
                    <a:xfrm>
                      <a:off x="0" y="0"/>
                      <a:ext cx="3838802" cy="2011680"/>
                    </a:xfrm>
                    <a:prstGeom prst="rect"/>
                  </pic:spPr>
                </pic:pic>
              </a:graphicData>
            </a:graphic>
          </wp:inline>
        </w:drawing>
      </w:r>
    </w:p>
    <w:p>
      <w:pPr>
        <w:pStyle w:val="Caption"/>
        <w:jc w:val="center"/>
      </w:pPr>
      <w:r>
        <w:t>그림 8. 모퉁이·에지·평탄 영역의 지역 패치 비교. 출처: PPT B 8쪽.</w:t>
      </w:r>
    </w:p>
    <w:p>
      <w:pPr>
        <w:spacing w:after="140"/>
        <w:jc w:val="center"/>
      </w:pPr>
      <m:oMathPara>
        <m:oMath>
          <m:r>
            <w:rPr>
              <w:rFonts w:ascii="Cambria Math" w:hAnsi="Cambria Math"/>
              <w:sz w:val="24"/>
            </w:rPr>
            <m:t>S(v,u) = </m:t>
          </m:r>
          <m:nary>
            <m:naryPr>
              <m:chr m:val="∑"/>
              <m:limLoc m:val="undOvr"/>
            </m:naryPr>
            <m:sub>
              <m:r>
                <w:rPr>
                  <w:rFonts w:ascii="Cambria Math" w:hAnsi="Cambria Math"/>
                  <w:sz w:val="24"/>
                </w:rPr>
                <m:t>y,x</m:t>
              </m:r>
            </m:sub>
            <m:sup>
              <m:r>
                <w:rPr>
                  <w:rFonts w:ascii="Cambria Math" w:hAnsi="Cambria Math"/>
                  <w:sz w:val="24"/>
                </w:rPr>
                <m:t/>
              </m:r>
            </m:sup>
            <m:e>
              <m:r>
                <w:rPr>
                  <w:rFonts w:ascii="Cambria Math" w:hAnsi="Cambria Math"/>
                  <w:sz w:val="24"/>
                </w:rPr>
                <m:t>w(y,x)</m:t>
              </m:r>
              <m:sSup>
                <m:e>
                  <m:r>
                    <w:rPr>
                      <w:rFonts w:ascii="Cambria Math" w:hAnsi="Cambria Math"/>
                      <w:sz w:val="24"/>
                    </w:rPr>
                    <m:t>[I(y+v,x+u)−I(y,x)]</m:t>
                  </m:r>
                </m:e>
                <m:sup>
                  <m:r>
                    <w:rPr>
                      <w:rFonts w:ascii="Cambria Math" w:hAnsi="Cambria Math"/>
                      <w:sz w:val="24"/>
                    </w:rPr>
                    <m:t>2</m:t>
                  </m:r>
                </m:sup>
              </m:sSup>
            </m:e>
          </m:nary>
        </m:oMath>
      </m:oMathPara>
    </w:p>
    <w:p>
      <w:pPr>
        <w:spacing w:after="140"/>
        <w:jc w:val="center"/>
      </w:pPr>
      <m:oMathPara>
        <m:oMath>
          <m:r>
            <w:rPr>
              <w:rFonts w:ascii="Cambria Math" w:hAnsi="Cambria Math"/>
              <w:sz w:val="24"/>
            </w:rPr>
            <m:t>모라벡 C = min{S(0,1), S(0,−1), S(1,0), S(−1,0)}</m:t>
          </m:r>
        </m:oMath>
      </m:oMathPara>
    </w:p>
    <w:p>
      <w:r>
        <w:t>창을 이동시켰을 때 밝기가 얼마나 달라지는지를 제곱차의 합 SSD로 센다. 평탄 영역은 어느 방향으로 움직여도 변화가 작다. 에지는 경계와 평행한 방향으로 움직이면 변화가 작다. 모퉁이는 여러 방향에서 변화가 커서 최솟값도 크다.</w:t>
      </w:r>
    </w:p>
    <w:p>
      <w:r>
        <w:t>이 강의의 모라벡은 1픽셀 이동과 네 방향을 사용한다. 방향 표본이 제한되고 잡음에 대한 별도 가중 처리가 없다는 한계가 있다. 창 안의 합산 위치 (y,x)와 창의 이동량 (v,u)을 혼동하지 않는다.</w:t>
      </w:r>
    </w:p>
    <w:p>
      <w:pPr>
        <w:pStyle w:val="Heading2"/>
      </w:pPr>
      <w:r>
        <w:t>해리스의 개선</w:t>
      </w:r>
    </w:p>
    <w:p>
      <w:pPr>
        <w:spacing w:after="140"/>
        <w:jc w:val="center"/>
      </w:pPr>
      <m:oMathPara>
        <m:oMath>
          <m:r>
            <w:rPr>
              <w:rFonts w:ascii="Cambria Math" w:hAnsi="Cambria Math"/>
              <w:sz w:val="24"/>
            </w:rPr>
            <m:t>I(y+v,x+u) ≈ I(y,x) + v</m:t>
          </m:r>
          <m:sSub>
            <m:e>
              <m:r>
                <w:rPr>
                  <w:rFonts w:ascii="Cambria Math" w:hAnsi="Cambria Math"/>
                  <w:sz w:val="24"/>
                </w:rPr>
                <m:t>I</m:t>
              </m:r>
            </m:e>
            <m:sub>
              <m:r>
                <w:rPr>
                  <w:rFonts w:ascii="Cambria Math" w:hAnsi="Cambria Math"/>
                  <w:sz w:val="24"/>
                </w:rPr>
                <m:t>y</m:t>
              </m:r>
            </m:sub>
          </m:sSub>
          <m:r>
            <w:rPr>
              <w:rFonts w:ascii="Cambria Math" w:hAnsi="Cambria Math"/>
              <w:sz w:val="24"/>
            </w:rPr>
            <m:t> + u</m:t>
          </m:r>
          <m:sSub>
            <m:e>
              <m:r>
                <w:rPr>
                  <w:rFonts w:ascii="Cambria Math" w:hAnsi="Cambria Math"/>
                  <w:sz w:val="24"/>
                </w:rPr>
                <m:t>I</m:t>
              </m:r>
            </m:e>
            <m:sub>
              <m:r>
                <w:rPr>
                  <w:rFonts w:ascii="Cambria Math" w:hAnsi="Cambria Math"/>
                  <w:sz w:val="24"/>
                </w:rPr>
                <m:t>x</m:t>
              </m:r>
            </m:sub>
          </m:sSub>
        </m:oMath>
      </m:oMathPara>
    </w:p>
    <w:p>
      <w:pPr>
        <w:spacing w:after="140"/>
        <w:jc w:val="center"/>
      </w:pPr>
      <m:oMathPara>
        <m:oMath>
          <m:r>
            <w:rPr>
              <w:rFonts w:ascii="Cambria Math" w:hAnsi="Cambria Math"/>
              <w:sz w:val="24"/>
            </w:rPr>
            <m:t>S(v,u) ≈ </m:t>
          </m:r>
          <m:d>
            <m:dPr>
              <m:begChr m:val="["/>
              <m:endChr m:val="]"/>
            </m:dPr>
            <m:e>
              <m:m>
                <m:mr>
                  <m:e>
                    <m:r>
                      <w:rPr>
                        <w:rFonts w:ascii="Cambria Math" w:hAnsi="Cambria Math"/>
                        <w:sz w:val="24"/>
                      </w:rPr>
                      <m:t>v</m:t>
                    </m:r>
                  </m:e>
                  <m:e>
                    <m:r>
                      <w:rPr>
                        <w:rFonts w:ascii="Cambria Math" w:hAnsi="Cambria Math"/>
                        <w:sz w:val="24"/>
                      </w:rPr>
                      <m:t>u</m:t>
                    </m:r>
                  </m:e>
                </m:mr>
              </m:m>
            </m:e>
          </m:d>
          <m:r>
            <w:rPr>
              <w:rFonts w:ascii="Cambria Math" w:hAnsi="Cambria Math"/>
              <w:sz w:val="24"/>
            </w:rPr>
            <m:t> A </m:t>
          </m:r>
          <m:d>
            <m:dPr>
              <m:begChr m:val="["/>
              <m:endChr m:val="]"/>
            </m:dPr>
            <m:e>
              <m:m>
                <m:mr>
                  <m:e>
                    <m:r>
                      <w:rPr>
                        <w:rFonts w:ascii="Cambria Math" w:hAnsi="Cambria Math"/>
                        <w:sz w:val="24"/>
                      </w:rPr>
                      <m:t>v</m:t>
                    </m:r>
                  </m:e>
                </m:mr>
                <m:mr>
                  <m:e>
                    <m:r>
                      <w:rPr>
                        <w:rFonts w:ascii="Cambria Math" w:hAnsi="Cambria Math"/>
                        <w:sz w:val="24"/>
                      </w:rPr>
                      <m:t>u</m:t>
                    </m:r>
                  </m:e>
                </m:mr>
              </m:m>
            </m:e>
          </m:d>
        </m:oMath>
      </m:oMathPara>
    </w:p>
    <w:p>
      <w:r>
        <w:t>작은 이동에 대해 테일러 1차 근사를 하고 가우시안 가중치를 사용하면, 이동량과 무관하게 계산할 수 있는 2×2 구조 행렬 A로 표현할 수 있다. 영상마다 이동 방향을 일일이 시험하는 대신 미분 곱의 분포를 분석한다.</w:t>
      </w:r>
    </w:p>
    <w:p>
      <w:pPr>
        <w:pStyle w:val="Heading1"/>
        <w:pageBreakBefore/>
      </w:pPr>
      <w:r>
        <w:t>11  해리스 구조 행렬과 응답</w:t>
      </w:r>
    </w:p>
    <w:p>
      <w:r>
        <w:rPr>
          <w:sz w:val="18"/>
        </w:rPr>
        <w:t>PPT B 16~21쪽 · 연결 코드 ch5_1.py의 gdyy, gdxx, gdyx, C</w:t>
      </w:r>
    </w:p>
    <w:p>
      <w:pPr>
        <w:spacing w:after="140"/>
        <w:jc w:val="center"/>
      </w:pPr>
      <m:oMathPara>
        <m:oMath>
          <m:r>
            <w:rPr>
              <w:rFonts w:ascii="Cambria Math" w:hAnsi="Cambria Math"/>
              <w:sz w:val="24"/>
            </w:rPr>
            <m:t>A = </m:t>
          </m:r>
          <m:d>
            <m:dPr>
              <m:begChr m:val="["/>
              <m:endChr m:val="]"/>
            </m:dPr>
            <m:e>
              <m:m>
                <m:mr>
                  <m:e>
                    <m:r>
                      <w:rPr>
                        <w:rFonts w:ascii="Cambria Math" w:hAnsi="Cambria Math"/>
                        <w:sz w:val="24"/>
                      </w:rPr>
                      <m:t>G * </m:t>
                    </m:r>
                    <m:sSup>
                      <m:e>
                        <m:sSub>
                          <m:e>
                            <m:r>
                              <w:rPr>
                                <w:rFonts w:ascii="Cambria Math" w:hAnsi="Cambria Math"/>
                                <w:sz w:val="24"/>
                              </w:rPr>
                              <m:t>I</m:t>
                            </m:r>
                          </m:e>
                          <m:sub>
                            <m:r>
                              <w:rPr>
                                <w:rFonts w:ascii="Cambria Math" w:hAnsi="Cambria Math"/>
                                <w:sz w:val="24"/>
                              </w:rPr>
                              <m:t>y</m:t>
                            </m:r>
                          </m:sub>
                        </m:sSub>
                      </m:e>
                      <m:sup>
                        <m:r>
                          <w:rPr>
                            <w:rFonts w:ascii="Cambria Math" w:hAnsi="Cambria Math"/>
                            <w:sz w:val="24"/>
                          </w:rPr>
                          <m:t>2</m:t>
                        </m:r>
                      </m:sup>
                    </m:sSup>
                  </m:e>
                  <m:e>
                    <m:r>
                      <w:rPr>
                        <w:rFonts w:ascii="Cambria Math" w:hAnsi="Cambria Math"/>
                        <w:sz w:val="24"/>
                      </w:rPr>
                      <m:t>G * </m:t>
                    </m:r>
                    <m:sSub>
                      <m:e>
                        <m:r>
                          <w:rPr>
                            <w:rFonts w:ascii="Cambria Math" w:hAnsi="Cambria Math"/>
                            <w:sz w:val="24"/>
                          </w:rPr>
                          <m:t>I</m:t>
                        </m:r>
                      </m:e>
                      <m:sub>
                        <m:r>
                          <w:rPr>
                            <w:rFonts w:ascii="Cambria Math" w:hAnsi="Cambria Math"/>
                            <w:sz w:val="24"/>
                          </w:rPr>
                          <m:t>y</m:t>
                        </m:r>
                      </m:sub>
                    </m:sSub>
                    <m:sSub>
                      <m:e>
                        <m:r>
                          <w:rPr>
                            <w:rFonts w:ascii="Cambria Math" w:hAnsi="Cambria Math"/>
                            <w:sz w:val="24"/>
                          </w:rPr>
                          <m:t>I</m:t>
                        </m:r>
                      </m:e>
                      <m:sub>
                        <m:r>
                          <w:rPr>
                            <w:rFonts w:ascii="Cambria Math" w:hAnsi="Cambria Math"/>
                            <w:sz w:val="24"/>
                          </w:rPr>
                          <m:t>x</m:t>
                        </m:r>
                      </m:sub>
                    </m:sSub>
                  </m:e>
                </m:mr>
                <m:mr>
                  <m:e>
                    <m:r>
                      <w:rPr>
                        <w:rFonts w:ascii="Cambria Math" w:hAnsi="Cambria Math"/>
                        <w:sz w:val="24"/>
                      </w:rPr>
                      <m:t>G * </m:t>
                    </m:r>
                    <m:sSub>
                      <m:e>
                        <m:r>
                          <w:rPr>
                            <w:rFonts w:ascii="Cambria Math" w:hAnsi="Cambria Math"/>
                            <w:sz w:val="24"/>
                          </w:rPr>
                          <m:t>I</m:t>
                        </m:r>
                      </m:e>
                      <m:sub>
                        <m:r>
                          <w:rPr>
                            <w:rFonts w:ascii="Cambria Math" w:hAnsi="Cambria Math"/>
                            <w:sz w:val="24"/>
                          </w:rPr>
                          <m:t>y</m:t>
                        </m:r>
                      </m:sub>
                    </m:sSub>
                    <m:sSub>
                      <m:e>
                        <m:r>
                          <w:rPr>
                            <w:rFonts w:ascii="Cambria Math" w:hAnsi="Cambria Math"/>
                            <w:sz w:val="24"/>
                          </w:rPr>
                          <m:t>I</m:t>
                        </m:r>
                      </m:e>
                      <m:sub>
                        <m:r>
                          <w:rPr>
                            <w:rFonts w:ascii="Cambria Math" w:hAnsi="Cambria Math"/>
                            <w:sz w:val="24"/>
                          </w:rPr>
                          <m:t>x</m:t>
                        </m:r>
                      </m:sub>
                    </m:sSub>
                  </m:e>
                  <m:e>
                    <m:r>
                      <w:rPr>
                        <w:rFonts w:ascii="Cambria Math" w:hAnsi="Cambria Math"/>
                        <w:sz w:val="24"/>
                      </w:rPr>
                      <m:t>G * </m:t>
                    </m:r>
                    <m:sSup>
                      <m:e>
                        <m:sSub>
                          <m:e>
                            <m:r>
                              <w:rPr>
                                <w:rFonts w:ascii="Cambria Math" w:hAnsi="Cambria Math"/>
                                <w:sz w:val="24"/>
                              </w:rPr>
                              <m:t>I</m:t>
                            </m:r>
                          </m:e>
                          <m:sub>
                            <m:r>
                              <w:rPr>
                                <w:rFonts w:ascii="Cambria Math" w:hAnsi="Cambria Math"/>
                                <w:sz w:val="24"/>
                              </w:rPr>
                              <m:t>x</m:t>
                            </m:r>
                          </m:sub>
                        </m:sSub>
                      </m:e>
                      <m:sup>
                        <m:r>
                          <w:rPr>
                            <w:rFonts w:ascii="Cambria Math" w:hAnsi="Cambria Math"/>
                            <w:sz w:val="24"/>
                          </w:rPr>
                          <m:t>2</m:t>
                        </m:r>
                      </m:sup>
                    </m:sSup>
                  </m:e>
                </m:mr>
              </m:m>
            </m:e>
          </m:d>
        </m:oMath>
      </m:oMathPara>
    </w:p>
    <w:p>
      <w:pPr>
        <w:spacing w:after="140"/>
        <w:jc w:val="center"/>
      </w:pPr>
      <m:oMathPara>
        <m:oMath>
          <m:r>
            <w:rPr>
              <w:rFonts w:ascii="Cambria Math" w:hAnsi="Cambria Math"/>
              <w:sz w:val="24"/>
            </w:rPr>
            <m:t>C = det(A) − k </m:t>
          </m:r>
          <m:sSup>
            <m:e>
              <m:r>
                <w:rPr>
                  <w:rFonts w:ascii="Cambria Math" w:hAnsi="Cambria Math"/>
                  <w:sz w:val="24"/>
                </w:rPr>
                <m:t>trace(A)</m:t>
              </m:r>
            </m:e>
            <m:sup>
              <m:r>
                <w:rPr>
                  <w:rFonts w:ascii="Cambria Math" w:hAnsi="Cambria Math"/>
                  <w:sz w:val="24"/>
                </w:rPr>
                <m:t>2</m:t>
              </m:r>
            </m:sup>
          </m:sSup>
          <m:r>
            <w:rPr>
              <w:rFonts w:ascii="Cambria Math" w:hAnsi="Cambria Math"/>
              <w:sz w:val="24"/>
            </w:rPr>
            <m:t> = </m:t>
          </m:r>
          <m:sSub>
            <m:e>
              <m:r>
                <w:rPr>
                  <w:rFonts w:ascii="Cambria Math" w:hAnsi="Cambria Math"/>
                  <w:sz w:val="24"/>
                </w:rPr>
                <m:t>λ</m:t>
              </m:r>
            </m:e>
            <m:sub>
              <m:r>
                <w:rPr>
                  <w:rFonts w:ascii="Cambria Math" w:hAnsi="Cambria Math"/>
                  <w:sz w:val="24"/>
                </w:rPr>
                <m:t>1</m:t>
              </m:r>
            </m:sub>
          </m:sSub>
          <m:sSub>
            <m:e>
              <m:r>
                <w:rPr>
                  <w:rFonts w:ascii="Cambria Math" w:hAnsi="Cambria Math"/>
                  <w:sz w:val="24"/>
                </w:rPr>
                <m:t>λ</m:t>
              </m:r>
            </m:e>
            <m:sub>
              <m:r>
                <w:rPr>
                  <w:rFonts w:ascii="Cambria Math" w:hAnsi="Cambria Math"/>
                  <w:sz w:val="24"/>
                </w:rPr>
                <m:t>2</m:t>
              </m:r>
            </m:sub>
          </m:sSub>
          <m:r>
            <w:rPr>
              <w:rFonts w:ascii="Cambria Math" w:hAnsi="Cambria Math"/>
              <w:sz w:val="24"/>
            </w:rPr>
            <m:t> − k</m:t>
          </m:r>
          <m:sSup>
            <m:e>
              <m:r>
                <w:rPr>
                  <w:rFonts w:ascii="Cambria Math" w:hAnsi="Cambria Math"/>
                  <w:sz w:val="24"/>
                </w:rPr>
                <m:t>(</m:t>
              </m:r>
              <m:sSub>
                <m:e>
                  <m:r>
                    <w:rPr>
                      <w:rFonts w:ascii="Cambria Math" w:hAnsi="Cambria Math"/>
                      <w:sz w:val="24"/>
                    </w:rPr>
                    <m:t>λ</m:t>
                  </m:r>
                </m:e>
                <m:sub>
                  <m:r>
                    <w:rPr>
                      <w:rFonts w:ascii="Cambria Math" w:hAnsi="Cambria Math"/>
                      <w:sz w:val="24"/>
                    </w:rPr>
                    <m:t>1</m:t>
                  </m:r>
                </m:sub>
              </m:sSub>
              <m:r>
                <w:rPr>
                  <w:rFonts w:ascii="Cambria Math" w:hAnsi="Cambria Math"/>
                  <w:sz w:val="24"/>
                </w:rPr>
                <m:t> + </m:t>
              </m:r>
              <m:sSub>
                <m:e>
                  <m:r>
                    <w:rPr>
                      <w:rFonts w:ascii="Cambria Math" w:hAnsi="Cambria Math"/>
                      <w:sz w:val="24"/>
                    </w:rPr>
                    <m:t>λ</m:t>
                  </m:r>
                </m:e>
                <m:sub>
                  <m:r>
                    <w:rPr>
                      <w:rFonts w:ascii="Cambria Math" w:hAnsi="Cambria Math"/>
                      <w:sz w:val="24"/>
                    </w:rPr>
                    <m:t>2</m:t>
                  </m:r>
                </m:sub>
              </m:sSub>
              <m:r>
                <w:rPr>
                  <w:rFonts w:ascii="Cambria Math" w:hAnsi="Cambria Math"/>
                  <w:sz w:val="24"/>
                </w:rPr>
                <m:t>)</m:t>
              </m:r>
            </m:e>
            <m:sup>
              <m:r>
                <w:rPr>
                  <w:rFonts w:ascii="Cambria Math" w:hAnsi="Cambria Math"/>
                  <w:sz w:val="24"/>
                </w:rPr>
                <m:t>2</m:t>
              </m:r>
            </m:sup>
          </m:sSup>
        </m:oMath>
      </m:oMathPara>
    </w:p>
    <w:p>
      <w:r>
        <w:t>G *는 가우시안 가중 집계이다. 위 행렬은 PPT와 같이 (y,x) 순서이다. 코드에서 det(A)=gdyy*gdxx−gdyx², trace(A)=gdyy+gdxx로 계산한다. 고유값을 직접 구하지 않아도 같은 응답식을 얻는다.</w:t>
      </w:r>
    </w:p>
    <w:tbl>
      <w:tblPr>
        <w:tblW w:type="auto" w:w="0"/>
        <w:jc w:val="center"/>
        <w:tblLayout w:type="fixed"/>
        <w:tblLook w:firstColumn="1" w:firstRow="1" w:lastColumn="0" w:lastRow="0" w:noHBand="0" w:noVBand="1" w:val="04A0"/>
      </w:tblPr>
      <w:tblGrid>
        <w:gridCol w:w="2376"/>
        <w:gridCol w:w="2952"/>
        <w:gridCol w:w="4752"/>
      </w:tblGrid>
      <w:tr>
        <w:trPr>
          <w:cantSplit/>
          <w:tblHeader/>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고유값의 크기</w:t>
            </w:r>
          </w:p>
        </w:tc>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밝기 변화</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판정의 의미</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둘 다 작음</w:t>
            </w:r>
          </w:p>
        </w:tc>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모든 방향에서 작음</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평탄 영역. 응답의 절댓값이 작음</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한쪽만 우세</w:t>
            </w:r>
          </w:p>
        </w:tc>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주로 한 방향에서 큼</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에지 후보. 불균형이 크면 응답이 음수</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둘 다 충분히 큼</w:t>
            </w:r>
          </w:p>
        </w:tc>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여러 방향에서 큼</w:t>
            </w:r>
          </w:p>
        </w:tc>
        <w:tc>
          <w:tcPr>
            <w:tcW w:type="dxa" w:w="47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강한 양수 응답의 코너 후보</w:t>
            </w:r>
          </w:p>
        </w:tc>
      </w:tr>
    </w:tbl>
    <w:p>
      <w:pPr>
        <w:spacing w:after="0"/>
      </w:pPr>
    </w:p>
    <w:p>
      <w:pPr>
        <w:keepNext/>
        <w:spacing w:after="60"/>
        <w:jc w:val="center"/>
      </w:pPr>
      <w:r>
        <w:drawing>
          <wp:inline xmlns:a="http://schemas.openxmlformats.org/drawingml/2006/main" xmlns:pic="http://schemas.openxmlformats.org/drawingml/2006/picture">
            <wp:extent cx="6080760" cy="2218278"/>
            <wp:docPr id="9" name="Picture 9" descr="그림 9. 강의의 세 지점 행렬·고유값·응답 비교. 출처: PPT B 19쪽."/>
            <wp:cNvGraphicFramePr>
              <a:graphicFrameLocks noChangeAspect="1"/>
            </wp:cNvGraphicFramePr>
            <a:graphic>
              <a:graphicData uri="http://schemas.openxmlformats.org/drawingml/2006/picture">
                <pic:pic>
                  <pic:nvPicPr>
                    <pic:cNvPr id="0" name="ch5_s19_1.png"/>
                    <pic:cNvPicPr/>
                  </pic:nvPicPr>
                  <pic:blipFill>
                    <a:blip r:embed="rId19"/>
                    <a:stretch>
                      <a:fillRect/>
                    </a:stretch>
                  </pic:blipFill>
                  <pic:spPr>
                    <a:xfrm>
                      <a:off x="0" y="0"/>
                      <a:ext cx="6080760" cy="2218278"/>
                    </a:xfrm>
                    <a:prstGeom prst="rect"/>
                  </pic:spPr>
                </pic:pic>
              </a:graphicData>
            </a:graphic>
          </wp:inline>
        </w:drawing>
      </w:r>
    </w:p>
    <w:p>
      <w:pPr>
        <w:pStyle w:val="Caption"/>
        <w:jc w:val="center"/>
      </w:pPr>
      <w:r>
        <w:t>그림 9. 강의의 세 지점 행렬·고유값·응답 비교. 출처: PPT B 19쪽.</w:t>
      </w:r>
    </w:p>
    <w:p>
      <w:r>
        <w:t>그림의 에지 b도 C=0.0237로 양수이다. 따라서 C&gt;0만으로 전부 좋은 코너라고 판정하면 안 된다. 응답 크기에 대한 임계값과 비최대 억제를 함께 사용한다. k 값과 고유값 비율에 따라 부호와 크기가 달라진다.</w:t>
      </w:r>
    </w:p>
    <w:p>
      <w:pPr>
        <w:pStyle w:val="Heading1"/>
        <w:pageBreakBefore/>
      </w:pPr>
      <w:r>
        <w:t>12  직접 구현 코드의 흐름과 계산 결과</w:t>
      </w:r>
    </w:p>
    <w:p>
      <w:r>
        <w:rPr>
          <w:sz w:val="18"/>
        </w:rPr>
        <w:t>PPT B 27~33쪽 · 연결 코드 ch5_1.py</w:t>
      </w:r>
    </w:p>
    <w:tbl>
      <w:tblPr>
        <w:tblW w:type="auto" w:w="0"/>
        <w:jc w:val="center"/>
        <w:tblLayout w:type="fixed"/>
        <w:tblLook w:firstColumn="1" w:firstRow="1" w:lastColumn="0" w:lastRow="0" w:noHBand="0" w:noVBand="1" w:val="04A0"/>
      </w:tblPr>
      <w:tblGrid>
        <w:gridCol w:w="1872"/>
        <w:gridCol w:w="2376"/>
        <w:gridCol w:w="5832"/>
      </w:tblGrid>
      <w:tr>
        <w:trPr>
          <w:cantSplit/>
          <w:tblHeader/>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코드 묶음</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변수</w:t>
            </w:r>
          </w:p>
        </w:tc>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이론과 연결</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입력과 커널</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img, ux, uy, k, g</w:t>
            </w:r>
          </w:p>
        </w:tc>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10×10 삼각형. 중앙 차분과 3×3 가우시안 가중치</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1차 미분</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dx, dy</w:t>
            </w:r>
          </w:p>
        </w:tc>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이웃 밝기의 x·y 방향 변화. 부호 있는 실수 유지</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미분 곱</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dxx, dyy, dyx</w:t>
            </w:r>
          </w:p>
        </w:tc>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dx², dy², dx*dy. 헤시안의 2차 미분이 아님</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가중 합</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gdxx, gdyy, gdyx</w:t>
            </w:r>
          </w:p>
        </w:tc>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미분 곱을 가까운 이웃 위주로 모은 구조 행렬 성분</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응답</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w:t>
            </w:r>
          </w:p>
        </w:tc>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det(A)−0.04*trace(A)²</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대표점 선택</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3×3 비교와 0.1</w:t>
            </w:r>
          </w:p>
        </w:tc>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이웃보다 크고 임계값도 넘는 점을 남김</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출력</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popping, points</w:t>
            </w:r>
          </w:p>
        </w:tc>
        <w:tc>
          <w:tcPr>
            <w:tcW w:type="dxa" w:w="58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화면에 보기 좋게 확대. 검출 계산과 분리</w:t>
            </w:r>
          </w:p>
        </w:tc>
      </w:tr>
    </w:tbl>
    <w:p>
      <w:pPr>
        <w:spacing w:after="0"/>
      </w:pPr>
    </w:p>
    <w:p>
      <w:pPr>
        <w:pStyle w:val="Heading2"/>
      </w:pPr>
      <w:r>
        <w:t>왜 1차원 커널을 외적으로 만드는가</w:t>
      </w:r>
    </w:p>
    <w:p>
      <w:pPr>
        <w:spacing w:after="140"/>
        <w:jc w:val="center"/>
      </w:pPr>
      <m:oMathPara>
        <m:oMath>
          <m:r>
            <w:rPr>
              <w:rFonts w:ascii="Cambria Math" w:hAnsi="Cambria Math"/>
              <w:sz w:val="24"/>
            </w:rPr>
            <m:t>k = </m:t>
          </m:r>
          <m:d>
            <m:dPr>
              <m:begChr m:val="["/>
              <m:endChr m:val="]"/>
            </m:dPr>
            <m:e>
              <m:m>
                <m:mr>
                  <m:e>
                    <m:r>
                      <w:rPr>
                        <w:rFonts w:ascii="Cambria Math" w:hAnsi="Cambria Math"/>
                        <w:sz w:val="24"/>
                      </w:rPr>
                      <m:t>0.2741</m:t>
                    </m:r>
                  </m:e>
                </m:mr>
                <m:mr>
                  <m:e>
                    <m:r>
                      <w:rPr>
                        <w:rFonts w:ascii="Cambria Math" w:hAnsi="Cambria Math"/>
                        <w:sz w:val="24"/>
                      </w:rPr>
                      <m:t>0.4519</m:t>
                    </m:r>
                  </m:e>
                </m:mr>
                <m:mr>
                  <m:e>
                    <m:r>
                      <w:rPr>
                        <w:rFonts w:ascii="Cambria Math" w:hAnsi="Cambria Math"/>
                        <w:sz w:val="24"/>
                      </w:rPr>
                      <m:t>0.2741</m:t>
                    </m:r>
                  </m:e>
                </m:mr>
              </m:m>
            </m:e>
          </m:d>
          <m:r>
            <w:rPr>
              <w:rFonts w:ascii="Cambria Math" w:hAnsi="Cambria Math"/>
              <w:sz w:val="24"/>
            </w:rPr>
            <m:t>,    G = k </m:t>
          </m:r>
          <m:sSup>
            <m:e>
              <m:r>
                <w:rPr>
                  <w:rFonts w:ascii="Cambria Math" w:hAnsi="Cambria Math"/>
                  <w:sz w:val="24"/>
                </w:rPr>
                <m:t>k</m:t>
              </m:r>
            </m:e>
            <m:sup>
              <m:r>
                <w:rPr>
                  <w:rFonts w:ascii="Cambria Math" w:hAnsi="Cambria Math"/>
                  <w:sz w:val="24"/>
                </w:rPr>
                <m:t>T</m:t>
              </m:r>
            </m:sup>
          </m:sSup>
          <m:r>
            <w:rPr>
              <w:rFonts w:ascii="Cambria Math" w:hAnsi="Cambria Math"/>
              <w:sz w:val="24"/>
            </w:rPr>
            <m:t> ≈ </m:t>
          </m:r>
          <m:d>
            <m:dPr>
              <m:begChr m:val="["/>
              <m:endChr m:val="]"/>
            </m:dPr>
            <m:e>
              <m:m>
                <m:mr>
                  <m:e>
                    <m:r>
                      <w:rPr>
                        <w:rFonts w:ascii="Cambria Math" w:hAnsi="Cambria Math"/>
                        <w:sz w:val="24"/>
                      </w:rPr>
                      <m:t>0.0751</m:t>
                    </m:r>
                  </m:e>
                  <m:e>
                    <m:r>
                      <w:rPr>
                        <w:rFonts w:ascii="Cambria Math" w:hAnsi="Cambria Math"/>
                        <w:sz w:val="24"/>
                      </w:rPr>
                      <m:t>0.1238</m:t>
                    </m:r>
                  </m:e>
                  <m:e>
                    <m:r>
                      <w:rPr>
                        <w:rFonts w:ascii="Cambria Math" w:hAnsi="Cambria Math"/>
                        <w:sz w:val="24"/>
                      </w:rPr>
                      <m:t>0.0751</m:t>
                    </m:r>
                  </m:e>
                </m:mr>
                <m:mr>
                  <m:e>
                    <m:r>
                      <w:rPr>
                        <w:rFonts w:ascii="Cambria Math" w:hAnsi="Cambria Math"/>
                        <w:sz w:val="24"/>
                      </w:rPr>
                      <m:t>0.1238</m:t>
                    </m:r>
                  </m:e>
                  <m:e>
                    <m:r>
                      <w:rPr>
                        <w:rFonts w:ascii="Cambria Math" w:hAnsi="Cambria Math"/>
                        <w:sz w:val="24"/>
                      </w:rPr>
                      <m:t>0.2042</m:t>
                    </m:r>
                  </m:e>
                  <m:e>
                    <m:r>
                      <w:rPr>
                        <w:rFonts w:ascii="Cambria Math" w:hAnsi="Cambria Math"/>
                        <w:sz w:val="24"/>
                      </w:rPr>
                      <m:t>0.1238</m:t>
                    </m:r>
                  </m:e>
                </m:mr>
                <m:mr>
                  <m:e>
                    <m:r>
                      <w:rPr>
                        <w:rFonts w:ascii="Cambria Math" w:hAnsi="Cambria Math"/>
                        <w:sz w:val="24"/>
                      </w:rPr>
                      <m:t>0.0751</m:t>
                    </m:r>
                  </m:e>
                  <m:e>
                    <m:r>
                      <w:rPr>
                        <w:rFonts w:ascii="Cambria Math" w:hAnsi="Cambria Math"/>
                        <w:sz w:val="24"/>
                      </w:rPr>
                      <m:t>0.1238</m:t>
                    </m:r>
                  </m:e>
                  <m:e>
                    <m:r>
                      <w:rPr>
                        <w:rFonts w:ascii="Cambria Math" w:hAnsi="Cambria Math"/>
                        <w:sz w:val="24"/>
                      </w:rPr>
                      <m:t>0.0751</m:t>
                    </m:r>
                  </m:e>
                </m:mr>
              </m:m>
            </m:e>
          </m:d>
        </m:oMath>
      </m:oMathPara>
    </w:p>
    <w:p>
      <w:r>
        <w:t>np.outer(k,k.transpose())와 k @ k.T는 이 경우 같은 3×3 행렬이다. 가우시안 가중치의 합은 1에 가깝다. 원소별 곱과 행렬 곱을 구별한다.</w:t>
      </w:r>
    </w:p>
    <w:p>
      <w:pPr>
        <w:pStyle w:val="Heading2"/>
      </w:pPr>
      <w:r>
        <w:t>실행해서 확인한 값</w:t>
      </w:r>
    </w:p>
    <w:p>
      <w:r>
        <w:t>기준 삼각형에서 비최대 억제 후 남은 점은 (y,x)=(2,3), (6,3), (6,7)이다. 각 응답은 약 0.19137, 0.19158, 0.19137이다. 그릴 좌표 순서는 (x,y)로 바뀐다. 숫자 자체보다 세 꼭짓점과 대응하는지 확인한다.</w:t>
      </w:r>
    </w:p>
    <w:p>
      <w:r>
        <w:t>비교식에서 자신과의 비교는 False이며 나머지 8곳에 대해 True이면 개수가 8이다. 동률인 최댓값은 이 엄격한 방식에서 모두 탈락할 수 있다. 영상에 표시한 9는 특징점 표시값이지 C의 실제 응답이 아니다.</w:t>
      </w:r>
    </w:p>
    <w:p>
      <w:pPr>
        <w:pStyle w:val="Heading1"/>
        <w:pageBreakBefore/>
      </w:pPr>
      <w:r>
        <w:t>13  OpenCV 함수와 직접 구현의 차이</w:t>
      </w:r>
    </w:p>
    <w:p>
      <w:r>
        <w:rPr>
          <w:sz w:val="18"/>
        </w:rPr>
        <w:t>PPT B 23, 34쪽 · 연결 코드 ch5_2.py</w:t>
      </w:r>
    </w:p>
    <w:p>
      <w:pPr>
        <w:spacing w:after="140"/>
      </w:pPr>
      <w:r>
        <w:rPr>
          <w:rFonts w:ascii="Consolas" w:hAnsi="Consolas" w:eastAsia="맑은 고딕"/>
          <w:sz w:val="19"/>
        </w:rPr>
        <w:t>dst = cv.cornerHarris(img, 3, 3, 0.04)</w:t>
      </w:r>
    </w:p>
    <w:tbl>
      <w:tblPr>
        <w:tblW w:type="auto" w:w="0"/>
        <w:jc w:val="center"/>
        <w:tblLayout w:type="fixed"/>
        <w:tblLook w:firstColumn="1" w:firstRow="1" w:lastColumn="0" w:lastRow="0" w:noHBand="0" w:noVBand="1" w:val="04A0"/>
      </w:tblPr>
      <w:tblGrid>
        <w:gridCol w:w="1872"/>
        <w:gridCol w:w="3744"/>
        <w:gridCol w:w="4464"/>
      </w:tblGrid>
      <w:tr>
        <w:trPr>
          <w:cantSplit/>
          <w:tblHeader/>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항목</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의미</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헷갈리기 쉬운 점</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img</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단일 채널 uint8 또는 float32 입력</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이 예제는 float32의 0/1 배열</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blockSize=3</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미분 곱을 집계할 이웃의 크기</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가우시안 sigma를 지정하는 값이 아님</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ksize=3</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Sobel 미분 연산자의 커널 크기</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집계 범위와 미분 범위를 구분</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k=0.04</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det−k*trace²의 계수</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특징점 개수나 직접적인 임계값이 아님</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dst</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원영상과 같은 크기의 float32 응답 맵</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좌표 목록이 아니며 대표점 선택은 별도</w:t>
            </w:r>
          </w:p>
        </w:tc>
      </w:tr>
    </w:tbl>
    <w:p>
      <w:pPr>
        <w:spacing w:after="0"/>
      </w:pPr>
    </w:p>
    <w:p>
      <w:r>
        <w:t>PPT 23쪽은 blockSize 옆에 가우시안 필터 크기라고 적지만, OpenCV 구현은 미분 곱의 이웃 집계 크기로 정의한다. 공식 구현의 기본 경로는 boxFilter로 집계한다. 직접 구현의 가우시안 가중 합과 숫자가 동일하다고 기대하면 안 된다.</w:t>
      </w:r>
    </w:p>
    <w:tbl>
      <w:tblPr>
        <w:tblW w:type="auto" w:w="0"/>
        <w:jc w:val="center"/>
        <w:tblLayout w:type="fixed"/>
        <w:tblLook w:firstColumn="1" w:firstRow="1" w:lastColumn="0" w:lastRow="0" w:noHBand="0" w:noVBand="1" w:val="04A0"/>
      </w:tblPr>
      <w:tblGrid>
        <w:gridCol w:w="1800"/>
        <w:gridCol w:w="4032"/>
        <w:gridCol w:w="4248"/>
      </w:tblGrid>
      <w:tr>
        <w:trPr>
          <w:cantSplit/>
          <w:tblHeader/>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비교</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ch5_1.py 직접 구현</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ch5_2.py OpenCV</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미분</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[-1,0,1] 중앙 차분</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Sobel 미분</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집계</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명시적인 가우시안 g</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blockSize 이웃 집계</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대표점</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임계값+엄격한 3×3 비최대 억제</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응답 표시까지만 구현</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이번 입력의 응답 범위</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약 −0.05800 ~ 0.19158</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약 −0.01778 ~ 0.09719</w:t>
            </w:r>
          </w:p>
        </w:tc>
      </w:tr>
    </w:tbl>
    <w:p>
      <w:pPr>
        <w:spacing w:after="0"/>
      </w:pPr>
    </w:p>
    <w:p>
      <w:r>
        <w:t>PPT의 +0.06, ×700 또는 +0.0178, ×2000은 응답을 화면 밝기로 옮기는 표시식이다. 다른 입력에서는 범위를 다시 정해야 한다. uint8로 바꾸기 전에 clip을 적용했고, 이 처리가 해리스 식 자체를 바꾸지는 않는다.</w:t>
      </w:r>
    </w:p>
    <w:p>
      <w:r>
        <w:t>공식 대조: OpenCV Feature Detection의 cornerHarris와 OpenCV corner.cpp. 해당 설명은 PPT의 개념과 함수 구현을 구분하기 위한 참고이다.</w:t>
      </w:r>
    </w:p>
    <w:p>
      <w:pPr>
        <w:pStyle w:val="Heading1"/>
        <w:pageBreakBefore/>
      </w:pPr>
      <w:r>
        <w:t>14  해리스의 한계와 헤시안 비교</w:t>
      </w:r>
    </w:p>
    <w:p>
      <w:r>
        <w:rPr>
          <w:sz w:val="18"/>
        </w:rPr>
        <w:t>PPT B 22, 24~26쪽 · ch5_1.py의 dxx 변수와 구분</w:t>
      </w:r>
    </w:p>
    <w:p>
      <w:pPr>
        <w:pStyle w:val="Heading2"/>
      </w:pPr>
      <w:r>
        <w:t>이동·회전과 스케일 변화</w:t>
      </w:r>
    </w:p>
    <w:p>
      <w:pPr>
        <w:keepNext/>
        <w:spacing w:after="60"/>
        <w:jc w:val="center"/>
      </w:pPr>
      <w:r>
        <w:drawing>
          <wp:inline xmlns:a="http://schemas.openxmlformats.org/drawingml/2006/main" xmlns:pic="http://schemas.openxmlformats.org/drawingml/2006/picture">
            <wp:extent cx="4824363" cy="2011680"/>
            <wp:docPr id="10" name="Picture 10" descr="그림 10. 회전 영상에서도 대응하는 관심점을 찾는 예. 출처: PPT B 25쪽."/>
            <wp:cNvGraphicFramePr>
              <a:graphicFrameLocks noChangeAspect="1"/>
            </wp:cNvGraphicFramePr>
            <a:graphic>
              <a:graphicData uri="http://schemas.openxmlformats.org/drawingml/2006/picture">
                <pic:pic>
                  <pic:nvPicPr>
                    <pic:cNvPr id="0" name="ch5_s25_1.png"/>
                    <pic:cNvPicPr/>
                  </pic:nvPicPr>
                  <pic:blipFill>
                    <a:blip r:embed="rId20"/>
                    <a:stretch>
                      <a:fillRect/>
                    </a:stretch>
                  </pic:blipFill>
                  <pic:spPr>
                    <a:xfrm>
                      <a:off x="0" y="0"/>
                      <a:ext cx="4824363" cy="2011680"/>
                    </a:xfrm>
                    <a:prstGeom prst="rect"/>
                  </pic:spPr>
                </pic:pic>
              </a:graphicData>
            </a:graphic>
          </wp:inline>
        </w:drawing>
      </w:r>
    </w:p>
    <w:p>
      <w:pPr>
        <w:pStyle w:val="Caption"/>
        <w:jc w:val="center"/>
      </w:pPr>
      <w:r>
        <w:t>그림 10. 회전 영상에서도 대응하는 관심점을 찾는 예. 출처: PPT B 25쪽.</w:t>
      </w:r>
    </w:p>
    <w:p>
      <w:pPr>
        <w:keepNext/>
        <w:spacing w:after="60"/>
        <w:jc w:val="center"/>
      </w:pPr>
      <w:r>
        <w:drawing>
          <wp:inline xmlns:a="http://schemas.openxmlformats.org/drawingml/2006/main" xmlns:pic="http://schemas.openxmlformats.org/drawingml/2006/picture">
            <wp:extent cx="4480560" cy="1411148"/>
            <wp:docPr id="11" name="Picture 11" descr="그림 11. 고정 크기 창은 스케일 변화에 대응하지 못함. 출처: PPT B 26쪽."/>
            <wp:cNvGraphicFramePr>
              <a:graphicFrameLocks noChangeAspect="1"/>
            </wp:cNvGraphicFramePr>
            <a:graphic>
              <a:graphicData uri="http://schemas.openxmlformats.org/drawingml/2006/picture">
                <pic:pic>
                  <pic:nvPicPr>
                    <pic:cNvPr id="0" name="ch5_s26_1.png"/>
                    <pic:cNvPicPr/>
                  </pic:nvPicPr>
                  <pic:blipFill>
                    <a:blip r:embed="rId21"/>
                    <a:stretch>
                      <a:fillRect/>
                    </a:stretch>
                  </pic:blipFill>
                  <pic:spPr>
                    <a:xfrm>
                      <a:off x="0" y="0"/>
                      <a:ext cx="4480560" cy="1411148"/>
                    </a:xfrm>
                    <a:prstGeom prst="rect"/>
                  </pic:spPr>
                </pic:pic>
              </a:graphicData>
            </a:graphic>
          </wp:inline>
        </w:drawing>
      </w:r>
    </w:p>
    <w:p>
      <w:pPr>
        <w:pStyle w:val="Caption"/>
        <w:jc w:val="center"/>
      </w:pPr>
      <w:r>
        <w:t>그림 11. 고정 크기 창은 스케일 변화에 대응하지 못함. 출처: PPT B 26쪽.</w:t>
      </w:r>
    </w:p>
    <w:p>
      <w:r>
        <w:t>해리스는 이상적인 조건에서 이동·회전 후 대응 지점에서 같은 종류의 특징을 다시 찾는다. 좌표값 자체가 변하지 않는다는 뜻은 아니다. 창 크기가 고정되어 있으므로 일반적으로 스케일 불변은 아니며, 픽셀 보간과 임계값도 결과에 영향을 준다.</w:t>
      </w:r>
    </w:p>
    <w:p>
      <w:pPr>
        <w:pStyle w:val="Heading2"/>
      </w:pPr>
      <w:r>
        <w:t>헤시안은 실제 2차 미분이다</w:t>
      </w:r>
    </w:p>
    <w:p>
      <w:pPr>
        <w:spacing w:after="140"/>
        <w:jc w:val="center"/>
      </w:pPr>
      <m:oMathPara>
        <m:oMath>
          <m:r>
            <w:rPr>
              <w:rFonts w:ascii="Cambria Math" w:hAnsi="Cambria Math"/>
              <w:sz w:val="24"/>
            </w:rPr>
            <m:t>H = </m:t>
          </m:r>
          <m:d>
            <m:dPr>
              <m:begChr m:val="["/>
              <m:endChr m:val="]"/>
            </m:dPr>
            <m:e>
              <m:m>
                <m:mr>
                  <m:e>
                    <m:sSub>
                      <m:e>
                        <m:r>
                          <w:rPr>
                            <w:rFonts w:ascii="Cambria Math" w:hAnsi="Cambria Math"/>
                            <w:sz w:val="24"/>
                          </w:rPr>
                          <m:t>I</m:t>
                        </m:r>
                      </m:e>
                      <m:sub>
                        <m:r>
                          <w:rPr>
                            <w:rFonts w:ascii="Cambria Math" w:hAnsi="Cambria Math"/>
                            <w:sz w:val="24"/>
                          </w:rPr>
                          <m:t>yy</m:t>
                        </m:r>
                      </m:sub>
                    </m:sSub>
                  </m:e>
                  <m:e>
                    <m:sSub>
                      <m:e>
                        <m:r>
                          <w:rPr>
                            <w:rFonts w:ascii="Cambria Math" w:hAnsi="Cambria Math"/>
                            <w:sz w:val="24"/>
                          </w:rPr>
                          <m:t>I</m:t>
                        </m:r>
                      </m:e>
                      <m:sub>
                        <m:r>
                          <w:rPr>
                            <w:rFonts w:ascii="Cambria Math" w:hAnsi="Cambria Math"/>
                            <w:sz w:val="24"/>
                          </w:rPr>
                          <m:t>yx</m:t>
                        </m:r>
                      </m:sub>
                    </m:sSub>
                  </m:e>
                </m:mr>
                <m:mr>
                  <m:e>
                    <m:sSub>
                      <m:e>
                        <m:r>
                          <w:rPr>
                            <w:rFonts w:ascii="Cambria Math" w:hAnsi="Cambria Math"/>
                            <w:sz w:val="24"/>
                          </w:rPr>
                          <m:t>I</m:t>
                        </m:r>
                      </m:e>
                      <m:sub>
                        <m:r>
                          <w:rPr>
                            <w:rFonts w:ascii="Cambria Math" w:hAnsi="Cambria Math"/>
                            <w:sz w:val="24"/>
                          </w:rPr>
                          <m:t>xy</m:t>
                        </m:r>
                      </m:sub>
                    </m:sSub>
                  </m:e>
                  <m:e>
                    <m:sSub>
                      <m:e>
                        <m:r>
                          <w:rPr>
                            <w:rFonts w:ascii="Cambria Math" w:hAnsi="Cambria Math"/>
                            <w:sz w:val="24"/>
                          </w:rPr>
                          <m:t>I</m:t>
                        </m:r>
                      </m:e>
                      <m:sub>
                        <m:r>
                          <w:rPr>
                            <w:rFonts w:ascii="Cambria Math" w:hAnsi="Cambria Math"/>
                            <w:sz w:val="24"/>
                          </w:rPr>
                          <m:t>xx</m:t>
                        </m:r>
                      </m:sub>
                    </m:sSub>
                  </m:e>
                </m:mr>
              </m:m>
            </m:e>
          </m:d>
          <m:r>
            <w:rPr>
              <w:rFonts w:ascii="Cambria Math" w:hAnsi="Cambria Math"/>
              <w:sz w:val="24"/>
            </w:rPr>
            <m:t>,    det(H) = </m:t>
          </m:r>
          <m:sSub>
            <m:e>
              <m:r>
                <w:rPr>
                  <w:rFonts w:ascii="Cambria Math" w:hAnsi="Cambria Math"/>
                  <w:sz w:val="24"/>
                </w:rPr>
                <m:t>I</m:t>
              </m:r>
            </m:e>
            <m:sub>
              <m:r>
                <w:rPr>
                  <w:rFonts w:ascii="Cambria Math" w:hAnsi="Cambria Math"/>
                  <w:sz w:val="24"/>
                </w:rPr>
                <m:t>yy</m:t>
              </m:r>
            </m:sub>
          </m:sSub>
          <m:sSub>
            <m:e>
              <m:r>
                <w:rPr>
                  <w:rFonts w:ascii="Cambria Math" w:hAnsi="Cambria Math"/>
                  <w:sz w:val="24"/>
                </w:rPr>
                <m:t>I</m:t>
              </m:r>
            </m:e>
            <m:sub>
              <m:r>
                <w:rPr>
                  <w:rFonts w:ascii="Cambria Math" w:hAnsi="Cambria Math"/>
                  <w:sz w:val="24"/>
                </w:rPr>
                <m:t>xx</m:t>
              </m:r>
            </m:sub>
          </m:sSub>
          <m:r>
            <w:rPr>
              <w:rFonts w:ascii="Cambria Math" w:hAnsi="Cambria Math"/>
              <w:sz w:val="24"/>
            </w:rPr>
            <m:t>−</m:t>
          </m:r>
          <m:sSup>
            <m:e>
              <m:sSub>
                <m:e>
                  <m:r>
                    <w:rPr>
                      <w:rFonts w:ascii="Cambria Math" w:hAnsi="Cambria Math"/>
                      <w:sz w:val="24"/>
                    </w:rPr>
                    <m:t>I</m:t>
                  </m:r>
                </m:e>
                <m:sub>
                  <m:r>
                    <w:rPr>
                      <w:rFonts w:ascii="Cambria Math" w:hAnsi="Cambria Math"/>
                      <w:sz w:val="24"/>
                    </w:rPr>
                    <m:t>xy</m:t>
                  </m:r>
                </m:sub>
              </m:sSub>
            </m:e>
            <m:sup>
              <m:r>
                <w:rPr>
                  <w:rFonts w:ascii="Cambria Math" w:hAnsi="Cambria Math"/>
                  <w:sz w:val="24"/>
                </w:rPr>
                <m:t>2</m:t>
              </m:r>
            </m:sup>
          </m:sSup>
        </m:oMath>
      </m:oMathPara>
    </w:p>
    <w:p>
      <w:pPr>
        <w:spacing w:after="140"/>
        <w:jc w:val="center"/>
      </w:pPr>
      <m:oMathPara>
        <m:oMath>
          <m:r>
            <w:rPr>
              <w:rFonts w:ascii="Cambria Math" w:hAnsi="Cambria Math"/>
              <w:sz w:val="24"/>
            </w:rPr>
            <m:t>LoG = trace(H) = </m:t>
          </m:r>
          <m:sSub>
            <m:e>
              <m:r>
                <w:rPr>
                  <w:rFonts w:ascii="Cambria Math" w:hAnsi="Cambria Math"/>
                  <w:sz w:val="24"/>
                </w:rPr>
                <m:t>I</m:t>
              </m:r>
            </m:e>
            <m:sub>
              <m:r>
                <w:rPr>
                  <w:rFonts w:ascii="Cambria Math" w:hAnsi="Cambria Math"/>
                  <w:sz w:val="24"/>
                </w:rPr>
                <m:t>xx</m:t>
              </m:r>
            </m:sub>
          </m:sSub>
          <m:r>
            <w:rPr>
              <w:rFonts w:ascii="Cambria Math" w:hAnsi="Cambria Math"/>
              <w:sz w:val="24"/>
            </w:rPr>
            <m:t> + </m:t>
          </m:r>
          <m:sSub>
            <m:e>
              <m:r>
                <w:rPr>
                  <w:rFonts w:ascii="Cambria Math" w:hAnsi="Cambria Math"/>
                  <w:sz w:val="24"/>
                </w:rPr>
                <m:t>I</m:t>
              </m:r>
            </m:e>
            <m:sub>
              <m:r>
                <w:rPr>
                  <w:rFonts w:ascii="Cambria Math" w:hAnsi="Cambria Math"/>
                  <w:sz w:val="24"/>
                </w:rPr>
                <m:t>yy</m:t>
              </m:r>
            </m:sub>
          </m:sSub>
          <m:r>
            <w:rPr>
              <w:rFonts w:ascii="Cambria Math" w:hAnsi="Cambria Math"/>
              <w:sz w:val="24"/>
            </w:rPr>
            <m:t>   (가우시안으로 평활화한 영상의 미분)</m:t>
          </m:r>
        </m:oMath>
      </m:oMathPara>
    </w:p>
    <w:p>
      <w:r>
        <w:t>해리스 A는 1차 미분의 곱을 주변에서 집계한 구조 행렬이다. 헤시안 H는 영상의 2차 미분으로 이루어진다. ch5_1.py의 dxx=dx*dx는 이름이 비슷해도 Ixx가 아니다. 둘 다 2×2 행렬이고 행렬식을 쓸 수 있다는 이유로 같은 알고리즘이 되지는 않는다.</w:t>
      </w:r>
    </w:p>
    <w:p>
      <w:pPr>
        <w:pStyle w:val="Heading1"/>
        <w:pageBreakBefore/>
      </w:pPr>
      <w:r>
        <w:t>15  내 코드에서 시험 전에 확인할 부분</w:t>
      </w:r>
    </w:p>
    <w:p>
      <w:r>
        <w:rPr>
          <w:sz w:val="18"/>
        </w:rPr>
        <w:t>PPT A 27쪽 실습과 PPT B 해리스 예제에 연결</w:t>
      </w:r>
    </w:p>
    <w:tbl>
      <w:tblPr>
        <w:tblW w:type="auto" w:w="0"/>
        <w:jc w:val="center"/>
        <w:tblLayout w:type="fixed"/>
        <w:tblLook w:firstColumn="1" w:firstRow="1" w:lastColumn="0" w:lastRow="0" w:noHBand="0" w:noVBand="1" w:val="04A0"/>
      </w:tblPr>
      <w:tblGrid>
        <w:gridCol w:w="2664"/>
        <w:gridCol w:w="3384"/>
        <w:gridCol w:w="4032"/>
      </w:tblGrid>
      <w:tr>
        <w:trPr>
          <w:cantSplit/>
          <w:tblHeader/>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위치</w:t>
            </w:r>
          </w:p>
        </w:tc>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현재 코드의 의미</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시험에서 구분할 내용</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외곽선 실습의 len 조건</w:t>
            </w:r>
          </w:p>
        </w:tc>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50&lt;len(contour)&lt;1000</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점 개수 조건. 요구한 실제 둘레 조건과 다름</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외곽선 실습의 인덱스</w:t>
            </w:r>
          </w:p>
        </w:tc>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lcontours[0]와 contours[0] 혼용</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필터링 전·후 배열이 같은 물체인지 확인</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외곽선 실습의 빈칸</w:t>
            </w:r>
          </w:p>
        </w:tc>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최소 원·다각형·볼록 껍질 미완성</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주석 추가가 완성 답안 추가를 뜻하지는 않음</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ch4_8.py의 uint8(center)</w:t>
            </w:r>
          </w:p>
        </w:tc>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좌표를 0~255 정수로 변환</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255 초과 값 순환 가능. 그리기 좌표에는 int 사용</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ch3_6.py의 범위</w:t>
            </w:r>
          </w:p>
        </w:tc>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calcHist(...,[0,255])</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상한 제외. 전체 8비트 범위는 [0,256]</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모멘트 중심 나눗셈</w:t>
            </w:r>
          </w:p>
        </w:tc>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m10/m00, m01/m00</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퇴화한 외곽선에서 m00=0 확인</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해리스 표시와 검출</w:t>
            </w:r>
          </w:p>
        </w:tc>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밝기 변환과 화면 확대</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대표점 추출 및 응답 계산과 구분</w:t>
            </w:r>
          </w:p>
        </w:tc>
      </w:tr>
    </w:tbl>
    <w:p>
      <w:pPr>
        <w:spacing w:after="0"/>
      </w:pPr>
    </w:p>
    <w:p>
      <w:pPr>
        <w:pStyle w:val="Heading2"/>
      </w:pPr>
      <w:r>
        <w:t>관련 실행문 참고</w:t>
      </w:r>
    </w:p>
    <w:p>
      <w:pPr>
        <w:spacing w:after="140"/>
      </w:pPr>
      <w:r>
        <w:rPr>
          <w:rFonts w:ascii="Consolas" w:hAnsi="Consolas" w:eastAsia="맑은 고딕"/>
          <w:sz w:val="19"/>
        </w:rPr>
        <w:t>perimeter = cv.arcLength(contour, True)</w:t>
      </w:r>
      <w:r>
        <w:rPr>
          <w:rFonts w:ascii="Consolas" w:hAnsi="Consolas" w:eastAsia="맑은 고딕"/>
          <w:sz w:val="19"/>
        </w:rPr>
        <w:br/>
        <w:t>keep = 50 &lt; perimeter &lt; 1000</w:t>
      </w:r>
      <w:r>
        <w:rPr>
          <w:rFonts w:ascii="Consolas" w:hAnsi="Consolas" w:eastAsia="맑은 고딕"/>
          <w:sz w:val="19"/>
        </w:rPr>
        <w:br/>
        <w:t>center, radius = cv.minEnclosingCircle(contour)</w:t>
      </w:r>
      <w:r>
        <w:rPr>
          <w:rFonts w:ascii="Consolas" w:hAnsi="Consolas" w:eastAsia="맑은 고딕"/>
          <w:sz w:val="19"/>
        </w:rPr>
        <w:br/>
        <w:t>cv.circle(img, tuple(int(v) for v in center), int(radius), (0,255,255), 2)</w:t>
      </w:r>
    </w:p>
    <w:p>
      <w:r>
        <w:t>위 코드는 차이를 설명하기 위한 별도 참고 예시이다. 기존 소스는 이론 주석만 추가했으며 실행문을 자동으로 고치거나 실습 빈칸을 채우지 않았다. 따라서 기존 결과와 비교하며 공부할 수 있다.</w:t>
      </w:r>
    </w:p>
    <w:p>
      <w:pPr>
        <w:pStyle w:val="Heading2"/>
      </w:pPr>
      <w:r>
        <w:t>실행 환경</w:t>
      </w:r>
    </w:p>
    <w:p>
      <w:r>
        <w:t>새 ch5_1.py와 ch5_2.py는 추가 영상 파일 없이 실행된다. 기존 ch4_8.py는 skimage.data.horse() 때문에 scikit-image가 필요하다. 이번 확인 시 프로젝트 가상환경에는 해당 모듈이 없어 말 예제 전체 실행은 확인하지 못했다. 외곽선 실습과 새 해리스 두 예제는 실행 확인했다.</w:t>
      </w:r>
    </w:p>
    <w:p>
      <w:pPr>
        <w:pStyle w:val="Heading1"/>
        <w:pageBreakBefore/>
      </w:pPr>
      <w:r>
        <w:t>16  스스로 답해 보기와 참고 자료</w:t>
      </w:r>
    </w:p>
    <w:p>
      <w:r>
        <w:rPr>
          <w:sz w:val="18"/>
        </w:rPr>
        <w:t>다음 질문은 제공된 PPT 내용으로 구성한 복습용이다. 실제 출제 범위나 문제를 단정하지 않는다.</w:t>
      </w:r>
    </w:p>
    <w:tbl>
      <w:tblPr>
        <w:tblW w:type="auto" w:w="0"/>
        <w:jc w:val="center"/>
        <w:tblLayout w:type="fixed"/>
        <w:tblLook w:firstColumn="1" w:firstRow="1" w:lastColumn="0" w:lastRow="0" w:noHBand="0" w:noVBand="1" w:val="04A0"/>
      </w:tblPr>
      <w:tblGrid>
        <w:gridCol w:w="4320"/>
        <w:gridCol w:w="5760"/>
      </w:tblGrid>
      <w:tr>
        <w:trPr>
          <w:cantSplit/>
          <w:tblHeader/>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확인 질문</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DEDED"/>
          </w:tcPr>
          <w:p>
            <w:pPr>
              <w:spacing w:after="40" w:line="259" w:lineRule="auto"/>
            </w:pPr>
            <w:r>
              <w:rPr>
                <w:b/>
                <w:sz w:val="19"/>
              </w:rPr>
              <w:t>짧은 답</w:t>
            </w:r>
          </w:p>
        </w:tc>
      </w:tr>
      <w:tr>
        <w:trPr>
          <w:cantSplit/>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이동에 불변인 모멘트는?</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중심 모멘트. 크기까지 보정하려면 정규화 중심 모멘트</w:t>
            </w:r>
          </w:p>
        </w:tc>
      </w:tr>
      <w:tr>
        <w:trPr>
          <w:cantSplit/>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Hu는 모든 변환에 불변인가?</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이동·회전·균일 스케일을 다룸. 반사 시 7번째 부호, 이산화 오차 주의</w:t>
            </w:r>
          </w:p>
        </w:tc>
      </w:tr>
      <w:tr>
        <w:trPr>
          <w:cantSplit/>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다각형 근사와 볼록 껍질의 차이는?</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근사는 허용 오차로 단순화. 볼록 껍질은 오목한 부분을 건너뛰어 감쌈</w:t>
            </w:r>
          </w:p>
        </w:tc>
      </w:tr>
      <w:tr>
        <w:trPr>
          <w:cantSplit/>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같은 히스토그램이면 같은 텍스처인가?</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아니다. 픽셀 배치가 다를 수 있어 이웃 관계 기술자가 필요</w:t>
            </w:r>
          </w:p>
        </w:tc>
      </w:tr>
      <w:tr>
        <w:trPr>
          <w:cantSplit/>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LTP를 512차원으로 만드는 방법은?</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양수/음수 두 LBP의 256-bin 히스토그램을 연결</w:t>
            </w:r>
          </w:p>
        </w:tc>
      </w:tr>
      <w:tr>
        <w:trPr>
          <w:cantSplit/>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에지보다 모퉁이가 대응점으로 좋은 이유는?</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에지는 평행 이동에 변화가 적지만 모퉁이는 여러 방향에 변화가 큼</w:t>
            </w:r>
          </w:p>
        </w:tc>
      </w:tr>
      <w:tr>
        <w:trPr>
          <w:cantSplit/>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해리스에서 고유값을 직접 구해야 하나?</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아니다. det(A)−k*trace(A)²로 응답을 계산</w:t>
            </w:r>
          </w:p>
        </w:tc>
      </w:tr>
      <w:tr>
        <w:trPr>
          <w:cantSplit/>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cornerHarris가 좌표를 반환하나?</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아니다. 응답 맵을 반환하며 임계값·대표점 선택은 별도</w:t>
            </w:r>
          </w:p>
        </w:tc>
      </w:tr>
      <w:tr>
        <w:trPr>
          <w:cantSplit/>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blockSize와 ksize는 같은가?</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아니다. 집계 이웃 범위와 Sobel 미분 커널 크기</w:t>
            </w:r>
          </w:p>
        </w:tc>
      </w:tr>
      <w:tr>
        <w:trPr>
          <w:cantSplit/>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왜 비최대 억제를 하나?</w:t>
            </w:r>
          </w:p>
        </w:tc>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9" w:lineRule="auto"/>
            </w:pPr>
            <w:r>
              <w:rPr>
                <w:b w:val="0"/>
                <w:sz w:val="19"/>
              </w:rPr>
              <w:t>한 특징 주변의 밀집된 응답에서 대표점을 남기기 위해</w:t>
            </w:r>
          </w:p>
        </w:tc>
      </w:tr>
    </w:tbl>
    <w:p>
      <w:pPr>
        <w:spacing w:after="0"/>
      </w:pPr>
    </w:p>
    <w:p>
      <w:pPr>
        <w:pStyle w:val="Heading2"/>
      </w:pPr>
      <w:r>
        <w:t>강의 자료와 추가 대조 자료</w:t>
      </w:r>
    </w:p>
    <w:p>
      <w:r>
        <w:t>A. 4장 영역 특징_3 (1).pptx: 1~3쪽 개념, 4~14쪽 모멘트·모양, 15~23쪽 텍스처, 24~27쪽 예제와 실습. B. 5장 지역특징_1.pptx: 2~8쪽 발상, 9~13쪽 모라벡, 14~26쪽 해리스·비교, 27~34쪽 코드와 결과.</w:t>
      </w:r>
    </w:p>
    <w:p>
      <w:r>
        <w:rPr>
          <w:sz w:val="16"/>
        </w:rPr>
        <w:t>OpenCV 모양 기술자와 HuMoments</w:t>
        <w:br/>
        <w:t>https://docs.opencv.org/4.x/d3/dc0/group__imgproc__shape.html</w:t>
      </w:r>
    </w:p>
    <w:p>
      <w:r>
        <w:rPr>
          <w:sz w:val="16"/>
        </w:rPr>
        <w:t>OpenCV cornerHarris 함수 정의</w:t>
        <w:br/>
        <w:t>https://docs.opencv.org/4.x/dd/d1a/group__imgproc__feature.html</w:t>
      </w:r>
    </w:p>
    <w:p>
      <w:r>
        <w:rPr>
          <w:sz w:val="16"/>
        </w:rPr>
        <w:t>OpenCV 구현 corner.cpp</w:t>
        <w:br/>
        <w:t>https://github.com/opencv/opencv/blob/4.x/modules/imgproc/src/corner.cpp</w:t>
      </w:r>
    </w:p>
    <w:p>
      <w:r>
        <w:t>작성 기준: 2026.10.16. 그림은 제공된 PPT에서 가져왔으며 캡션에 슬라이드 번호를 적었다. 수식은 Word에서 편집 가능한 기본 식과 PPT의 원본 수식 그림을 함께 사용했다.</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컴퓨터비전  |  영역 특징과 지역 특징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맑은 고딕" w:hAnsi="맑은 고딕" w:eastAsia="맑은 고딕"/>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영역 특징과 지역 특징 시험 정리</dc:title>
  <dc:subject>강의 PPT 두 개와 실제 소스코드를 연결한 시험 공부 자료</dc:subject>
  <dc:creator>김준휘</dc:creator>
  <cp:keywords/>
  <dc:description>generated by python-docx</dc:description>
  <cp:lastModifiedBy/>
  <cp:revision>1</cp:revision>
  <dcterms:created xsi:type="dcterms:W3CDTF">2013-12-23T23:15:00Z</dcterms:created>
  <dcterms:modified xsi:type="dcterms:W3CDTF">2013-12-23T23:15:00Z</dcterms:modified>
  <cp:category/>
</cp:coreProperties>
</file>