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78CD" w14:textId="77777777" w:rsidR="00BA3B22" w:rsidRDefault="00D32FFE">
      <w:pPr>
        <w:pStyle w:val="Title"/>
      </w:pPr>
      <w:r>
        <w:t>Water isotope mass balance for Lake Turkana, Kenya</w:t>
      </w:r>
    </w:p>
    <w:p w14:paraId="53F1E862" w14:textId="743CAC75" w:rsidR="00BA3B22" w:rsidRDefault="00D32FFE" w:rsidP="006E67C4">
      <w:pPr>
        <w:pStyle w:val="Author"/>
      </w:pPr>
      <w:r>
        <w:t>Gregory Arthur Henkes</w:t>
      </w:r>
      <w:r w:rsidR="006E67C4">
        <w:t xml:space="preserve">, </w:t>
      </w:r>
      <w:r>
        <w:t>Mae Saslaw</w:t>
      </w:r>
    </w:p>
    <w:p w14:paraId="026CE394" w14:textId="77777777" w:rsidR="00BA3B22" w:rsidRDefault="00D32FFE">
      <w:pPr>
        <w:pStyle w:val="Abstract"/>
      </w:pPr>
      <w:r>
        <w:t>Lake Turkana is the largest desert lake in the world, and its basin is among the hottest places on Earth today. It hosts economically important fisheries and other biota, and along the basin margins, a rich sedimentary rock record contains some of the most important paleontological sites in East Africa. Stable isotopes of oxygen and hydrogen in natural waters have been used here, and elsewhere in East Africa, as natural tracers for regional hydrology; however, observations are limited temporally, spatially, and among water sources. Here we present new oxygen and hydrogen isotope data from 115 waters collected between 2016 and 2020 to better characterize the natural variability and patterns, and to demonstrate the potential of a more expansive and systematic sampling scheme. We find that lake waters  in a single region, the northeastern shoreline, vary by 17.55 δD‰ and 3.94 δ</w:t>
      </w:r>
      <w:r>
        <w:rPr>
          <w:vertAlign w:val="superscript"/>
        </w:rPr>
        <w:t>18</w:t>
      </w:r>
      <w:r>
        <w:t>O‰, and variability is entirely controlled by surface water evaporation. Precipitation varies by 62.62‰ and 8.91‰ for δD and δ</w:t>
      </w:r>
      <w:r>
        <w:rPr>
          <w:vertAlign w:val="superscript"/>
        </w:rPr>
        <w:t>18</w:t>
      </w:r>
      <w:r>
        <w:t>O, respectively, but is poorly correlated with positive and negative D-excess values. There are no obvious temporal trends in the isotope data, though our samples miss substantial periods of the East African rainy seasons. The most important inputs into Lake Turkana, the Omo and Turkwel Rivers, are similar isotopically, but help define a lakewater evaporation model that indicates the residual lakewater is XX% evaporated on average from inputs. This is consistent with other estimates of Lake Turkana surface water evaporative loss, underscoring the fragility of lakewater balance to changes in riverine inputs, such as damming, agriculture, and climatic change. This contemporary isotope study also provides important proxy calibration data for geochemical recorders including organic biomarkers (for δD), carbonates, and mammalian teeth (for δ</w:t>
      </w:r>
      <w:r>
        <w:rPr>
          <w:vertAlign w:val="superscript"/>
        </w:rPr>
        <w:t>18</w:t>
      </w:r>
      <w:r>
        <w:t>O), which preserve water isotope ratios in soil, fluvial, and lacustrine sediments over millions of years.</w:t>
      </w:r>
    </w:p>
    <w:p w14:paraId="26634E6D" w14:textId="77777777" w:rsidR="00BA3B22" w:rsidRDefault="00D32FFE">
      <w:pPr>
        <w:pStyle w:val="Heading1"/>
      </w:pPr>
      <w:bookmarkStart w:id="0" w:name="ιntroduction"/>
      <w:bookmarkEnd w:id="0"/>
      <w:r>
        <w:t>Ιntroduction</w:t>
      </w:r>
    </w:p>
    <w:p w14:paraId="4AC48524" w14:textId="26D9A288" w:rsidR="00BA3B22" w:rsidRDefault="00D32FFE">
      <w:pPr>
        <w:pStyle w:val="FirstParagraph"/>
      </w:pPr>
      <w:r>
        <w:t>Water isotope measurements from large lakes are useful in understanding regional hydrology and mass balance at the basin scale. Ratios of heavy isotopes of lake water, deuterium and oxygen-18, are influenced by the isotopic composition of source waters, and by atmospheric conditions, primarily temperature and humidity </w:t>
      </w:r>
      <w:r w:rsidR="005439FF">
        <w:fldChar w:fldCharType="begin"/>
      </w:r>
      <w:r w:rsidR="005439FF">
        <w:instrText xml:space="preserve"> ADDIN ZOTERO_ITEM CSL_CITATION {"citationID":"29jpNBu7","properties":{"formattedCitation":"(Gibson &amp; Edwards, 2002)","plainCitation":"(Gibson &amp; Edwards, 2002)","noteIndex":0},"citationItems":[{"id":4716,"uris":["http://zotero.org/users/4132460/items/T87N82Q2"],"uri":["http://zotero.org/users/4132460/items/T87N82Q2"],"itemData":{"id":4716,"type":"article-journal","container-title":"Global Biogeochemical Cycles","DOI":"10.1029/2001GB001839","ISSN":"08866236","issue":"2","journalAbbreviation":"Global Biogeochem. Cycles","language":"en","page":"10-1-10-14","source":"DOI.org (Crossref)","title":"Regional water balance trends and evaporation-transpiration partitioning from a stable isotope survey of lakes in northern Canada: REGIONAL WATER BALANCE USING STABLE ISOTOPES","title-short":"Regional water balance trends and evaporation-transpiration partitioning from a stable isotope survey of lakes in northern Canada","URL":"http://doi.wiley.com/10.1029/2001GB001839","volume":"16","author":[{"family":"Gibson","given":"J. J."},{"family":"Edwards","given":"T. W. D."}],"accessed":{"date-parts":[["2021",1,14]]},"issued":{"date-parts":[["2002",6]]}}}],"schema":"https://github.com/citation-style-language/schema/raw/master/csl-citation.json"} </w:instrText>
      </w:r>
      <w:r w:rsidR="005439FF">
        <w:fldChar w:fldCharType="separate"/>
      </w:r>
      <w:r w:rsidR="005439FF">
        <w:rPr>
          <w:noProof/>
        </w:rPr>
        <w:t>(Gibson &amp; Edwards, 2002)</w:t>
      </w:r>
      <w:r w:rsidR="005439FF">
        <w:fldChar w:fldCharType="end"/>
      </w:r>
      <w:r w:rsidR="005439FF">
        <w:t>.</w:t>
      </w:r>
      <w:r>
        <w:t xml:space="preserve"> For hydrologically closed lakes, isotopic composition is primarily influenced by evaporative effects</w:t>
      </w:r>
      <w:r w:rsidR="005439FF">
        <w:t xml:space="preserve"> </w:t>
      </w:r>
      <w:r w:rsidR="005439FF">
        <w:fldChar w:fldCharType="begin"/>
      </w:r>
      <w:r w:rsidR="005439FF">
        <w:instrText xml:space="preserve"> ADDIN ZOTERO_ITEM CSL_CITATION {"citationID":"k5jszf7W","properties":{"formattedCitation":"(Froehlich et al., 2005)","plainCitation":"(Froehlich et al., 2005)","noteIndex":0},"citationItems":[{"id":4260,"uris":["http://zotero.org/users/4132460/items/JNVH5XHU"],"uri":["http://zotero.org/users/4132460/items/JNVH5XHU"],"itemData":{"id":4260,"type":"chapter","call-number":"GB656.2.R34 I834 2005","container-title":"Isotopes in the water cycle: past, present and future of a developing science","event-place":"Dordrecht, the Netherlands","ISBN":"978-1-4020-3010-9","language":"en","note":"OCLC: ocm62185954","publisher":"Springer","publisher-place":"Dordrecht, the Netherlands","source":"Library of Congress ISBN","title":"Isotopes in Lake Studies: A Historical Perspective","editor":[{"family":"Aggarwal","given":"Pradeep Kumar"},{"family":"Gat","given":"Joel"},{"family":"Froehlich","given":"Klaus F. O."}],"author":[{"family":"Froehlich","given":"Klaus F. O."},{"family":"Gonfiantini","given":"R."},{"family":"Rozanski","given":"K."}],"issued":{"date-parts":[["2005"]]}}}],"schema":"https://github.com/citation-style-language/schema/raw/master/csl-citation.json"} </w:instrText>
      </w:r>
      <w:r w:rsidR="005439FF">
        <w:fldChar w:fldCharType="separate"/>
      </w:r>
      <w:r w:rsidR="005439FF">
        <w:rPr>
          <w:noProof/>
        </w:rPr>
        <w:t>(Froehlich et al., 2005)</w:t>
      </w:r>
      <w:r w:rsidR="005439FF">
        <w:fldChar w:fldCharType="end"/>
      </w:r>
      <w:r w:rsidR="005439FF">
        <w:t>.</w:t>
      </w:r>
    </w:p>
    <w:p w14:paraId="703482E1" w14:textId="3944F939" w:rsidR="00BA3B22" w:rsidRDefault="00D32FFE">
      <w:pPr>
        <w:pStyle w:val="BodyText"/>
      </w:pPr>
      <w:r>
        <w:t>Lakes in arid East Africa were identified as being particularly enriched in δ</w:t>
      </w:r>
      <w:r>
        <w:rPr>
          <w:vertAlign w:val="superscript"/>
        </w:rPr>
        <w:t>18</w:t>
      </w:r>
      <w:r>
        <w:t>O in the original definition of the Global Meteoric Water Line </w:t>
      </w:r>
      <w:r w:rsidR="005439FF">
        <w:fldChar w:fldCharType="begin"/>
      </w:r>
      <w:r w:rsidR="005439FF">
        <w:instrText xml:space="preserve"> ADDIN ZOTERO_ITEM CSL_CITATION {"citationID":"TVG3WKh2","properties":{"formattedCitation":"(Craig, 1961)","plainCitation":"(Craig, 1961)","noteIndex":0},"citationItems":[{"id":663,"uris":["http://zotero.org/users/4132460/items/2HAAP84L"],"uri":["http://zotero.org/users/4132460/items/2HAAP84L"],"itemData":{"id":663,"type":"article-journal","container-title":"Science","page":"1702-1703","title":"Atmospheric Variations in Meteoric Waters","volume":"133","author":[{"family":"Craig","given":"Harmon"}],"issued":{"date-parts":[["1961",5,26]]}}}],"schema":"https://github.com/citation-style-language/schema/raw/master/csl-citation.json"} </w:instrText>
      </w:r>
      <w:r w:rsidR="005439FF">
        <w:fldChar w:fldCharType="separate"/>
      </w:r>
      <w:r w:rsidR="005439FF">
        <w:rPr>
          <w:noProof/>
        </w:rPr>
        <w:t>(Craig, 1961)</w:t>
      </w:r>
      <w:r w:rsidR="005439FF">
        <w:fldChar w:fldCharType="end"/>
      </w:r>
      <w:r>
        <w:t>.</w:t>
      </w:r>
    </w:p>
    <w:p w14:paraId="298DD28C" w14:textId="4B3AF4F0" w:rsidR="00BA3B22" w:rsidRDefault="00D32FFE">
      <w:pPr>
        <w:pStyle w:val="BodyText"/>
      </w:pPr>
      <w:r>
        <w:lastRenderedPageBreak/>
        <w:t>The Turkana Basin is located in northwestern Kenya; its hydrographic region extends north in the Ethiopian highlands as part of the Omo River watershed</w:t>
      </w:r>
      <w:r w:rsidR="005439FF">
        <w:t>.</w:t>
      </w:r>
      <w:r>
        <w:t xml:space="preserve"> Lake Turkana is a large, alkaline lake at the center of the basin, with a catchment of 130,860 km</w:t>
      </w:r>
      <w:r>
        <w:rPr>
          <w:vertAlign w:val="superscript"/>
        </w:rPr>
        <w:t>2</w:t>
      </w:r>
      <w:r>
        <w:t> </w:t>
      </w:r>
      <w:r w:rsidR="005439FF">
        <w:fldChar w:fldCharType="begin"/>
      </w:r>
      <w:r w:rsidR="005439FF">
        <w:instrText xml:space="preserve"> ADDIN ZOTERO_ITEM CSL_CITATION {"citationID":"x123OmAG","properties":{"formattedCitation":"(Avery, 2010)","plainCitation":"(Avery, 2010)","noteIndex":0},"citationItems":[{"id":4184,"uris":["http://zotero.org/users/4132460/items/EUQ43HNK"],"uri":["http://zotero.org/users/4132460/items/EUQ43HNK"],"itemData":{"id":4184,"type":"report","publisher":"African Development Bank","title":"Hydrological Impacts of Ethiopia's Omo Basin on Kenya's Lake Turkana Water Levels &amp; Fisheries","author":[{"family":"Avery","given":"Sean"}],"issued":{"date-parts":[["2010",11]]}}}],"schema":"https://github.com/citation-style-language/schema/raw/master/csl-citation.json"} </w:instrText>
      </w:r>
      <w:r w:rsidR="005439FF">
        <w:fldChar w:fldCharType="separate"/>
      </w:r>
      <w:r w:rsidR="005439FF">
        <w:rPr>
          <w:noProof/>
        </w:rPr>
        <w:t>(Avery, 2010)</w:t>
      </w:r>
      <w:r w:rsidR="005439FF">
        <w:fldChar w:fldCharType="end"/>
      </w:r>
      <w:r>
        <w:t>. The lake is hydrologically closed. Its surface area is 7560 km</w:t>
      </w:r>
      <w:r>
        <w:rPr>
          <w:vertAlign w:val="superscript"/>
        </w:rPr>
        <w:t>2 </w:t>
      </w:r>
      <w:r>
        <w:t>and its N-S axis extends 257 km </w:t>
      </w:r>
      <w:r w:rsidR="00E0558D">
        <w:fldChar w:fldCharType="begin"/>
      </w:r>
      <w:r w:rsidR="00E0558D">
        <w:instrText xml:space="preserve"> ADDIN ZOTERO_ITEM CSL_CITATION {"citationID":"zizQyizD","properties":{"formattedCitation":"(Cerling, 1986; Hopson, 1982)","plainCitation":"(Cerling, 1986; Hopson, 1982)","noteIndex":0},"citationItems":[{"id":4209,"uris":["http://zotero.org/users/4132460/items/88X593IG"],"uri":["http://zotero.org/users/4132460/items/88X593IG"],"itemData":{"id":4209,"type":"article-journal","abstract":"Cerling, T. E., 1986. A mass-balance approach to basin sedimentation: constraints on the recent history of the Turkana Basin. Palaeogeogr., Palaeoclimatol., Palaeoecol., 54: 63--86.","container-title":"Palaeogeography, Palaeoclimatology, Palaeoecology","DOI":"10.1016/0031-0182(86)90118-5","ISSN":"00310182","issue":"1-4","journalAbbreviation":"Palaeogeography, Palaeoclimatology, Palaeoecology","language":"en","page":"63-86","source":"DOI.org (Crossref)","title":"A mass-balance approach to basin sedimentation: Constraints on the recent history of the Turkana basin","title-short":"A mass-balance approach to basin sedimentation","URL":"https://linkinghub.elsevier.com/retrieve/pii/0031018286901185","volume":"54","author":[{"family":"Cerling","given":"Thure E."}],"accessed":{"date-parts":[["2020",8,11]]},"issued":{"date-parts":[["1986",5]]}}},{"id":4211,"uris":["http://zotero.org/users/4132460/items/YZDFKH9I"],"uri":["http://zotero.org/users/4132460/items/YZDFKH9I"],"itemData":{"id":4211,"type":"report","event-place":"London","page":"382","publisher":"Government of Kenya and The Ministry of Overseas Development","publisher-place":"London","source":"Zotero","title":"Lake Turkana: a report on the findings of the Lake Turkana project, 1972-1975","author":[{"family":"Hopson","given":"A J"}],"issued":{"date-parts":[["1982"]]}}}],"schema":"https://github.com/citation-style-language/schema/raw/master/csl-citation.json"} </w:instrText>
      </w:r>
      <w:r w:rsidR="00E0558D">
        <w:fldChar w:fldCharType="separate"/>
      </w:r>
      <w:r w:rsidR="00E0558D">
        <w:rPr>
          <w:noProof/>
        </w:rPr>
        <w:t>(Cerling, 1986; Hopson, 1982)</w:t>
      </w:r>
      <w:r w:rsidR="00E0558D">
        <w:fldChar w:fldCharType="end"/>
      </w:r>
      <w:r>
        <w:t>. The Omo River, which flows from the north, contributes approximately 90% of the water to the lake. Minor contributions come from the Turkwel and Kerio Rivers, which drain from south to north, and ephemeral lagas (streams).</w:t>
      </w:r>
    </w:p>
    <w:p w14:paraId="40D31269" w14:textId="18547AF3" w:rsidR="00BA3B22" w:rsidRDefault="00D32FFE">
      <w:pPr>
        <w:pStyle w:val="BodyText"/>
      </w:pPr>
      <w:r>
        <w:t>Isotopic composition of precipitation is more variable during the rainy seasons, and GNIP records for Addis Ababa, the closest precipitation isotope monitoring station to the Turkana Basin, show depleted δ</w:t>
      </w:r>
      <w:r>
        <w:rPr>
          <w:vertAlign w:val="superscript"/>
        </w:rPr>
        <w:t>18</w:t>
      </w:r>
      <w:r>
        <w:t>O values during seasons of abundant rainfall</w:t>
      </w:r>
      <w:r w:rsidR="00E0558D">
        <w:t xml:space="preserve"> </w:t>
      </w:r>
      <w:r w:rsidR="00E0558D">
        <w:fldChar w:fldCharType="begin"/>
      </w:r>
      <w:r w:rsidR="00E0558D">
        <w:instrText xml:space="preserve"> ADDIN ZOTERO_ITEM CSL_CITATION {"citationID":"EwP2eOnP","properties":{"formattedCitation":"(Levin et al., 2009; Rozanski et al., 2019)","plainCitation":"(Levin et al., 2009; Rozanski et al., 2019)","noteIndex":0},"citationItems":[{"id":1463,"uris":["http://zotero.org/users/4132460/items/XL5N4SJ2"],"uri":["http://zotero.org/users/4132460/items/XL5N4SJ2"],"itemData":{"id":1463,"type":"article-journal","abstract":"Oxygen and deuterium isotopic values of meteoric waters from Ethiopia are unusually high when compared to waters from other high-elevation settings in Africa and worldwide. These high values are well documented; however, the climatic processes responsible for the isotopic anomalies in Ethiopian waters have not been thoroughly investigated. We use isotopic data from waters and remote data products to demonstrate how different moisture sources affect the distribution of stable isotopes in waters from eastern Africa. Oxygen and deuterium stable isotopic data from 349 surface and near-surface groundwaters indicate isotopic distinctions between waters in Ethiopia and Kenya and confirm the anomalous nature of Ethiopian waters. Remote data products from the Tropical Rainfall Measuring Mission (TRMM) and National Centers for Environmental Prediction (NCEP) reanalysis project show strong westerly and southwesterly components to low-level winds during precipitation events in western and central Ethiopia. This is in contrast to the easterly and southeasterly winds that bring rainfall to Kenya and southeastern Ethiopia. Large regions of high equivalent potential temperatures (θe) at low levels over the Sudd and the Congo Basin demonstrate the potential for these areas as sources of moisture and convective instability. The combination of wind direction data from Ethiopia and θe distribution in Africa indicates that transpired moisture from the Sudd and the Congo Basin is likely responsible for the high isotopic values of rainfall in Ethiopia.","container-title":"Journal of Geophysical Research: Atmospheres","DOI":"10.1029/2009JD012166","ISSN":"2156-2202","issue":"D23","language":"en","source":"Wiley Online Library","title":"Isotopic composition of waters from Ethiopia and Kenya: Insights into moisture sources for eastern Africa","title-short":"Isotopic composition of waters from Ethiopia and Kenya","URL":"https://agupubs.onlinelibrary.wiley.com/doi/abs/10.1029/2009JD012166","volume":"114","author":[{"family":"Levin","given":"Naomi E."},{"family":"Zipser","given":"Edward J."},{"family":"Cerling","given":"Thure E."}],"accessed":{"date-parts":[["2019",11,12]]},"issued":{"date-parts":[["2009"]]}}},{"id":4342,"uris":["http://zotero.org/users/4132460/items/M8F76HE9"],"uri":["http://zotero.org/users/4132460/items/M8F76HE9"],"itemData":{"id":4342,"type":"chapter","container-title":"The Limnology, Climatology and Paleoclimatology of the East African Lakes","edition":"1","ISBN":"978-0-203-74897-8","language":"en","note":"DOI: 10.1201/9780203748978","page":"79-93","publisher":"Routledge","source":"DOI.org (Crossref)","title":"Isotope Patterns of Precipitation in East Africa","URL":"https://www.taylorfrancis.com/books/9781351435321","container-author":[{"family":"Whittaker","given":"Katherine T."}],"editor":[{"family":"Johnson","given":"Thomas C."},{"family":"Odada","given":"Eric O."}],"author":[{"family":"Rozanski","given":"Kazimierz"},{"family":"Araguás-Araguás","given":"Luis"},{"family":"Gonfiantini","given":"Roberto"}],"accessed":{"date-parts":[["2020",9,17]]},"issued":{"date-parts":[["2019",8,13]]}}}],"schema":"https://github.com/citation-style-language/schema/raw/master/csl-citation.json"} </w:instrText>
      </w:r>
      <w:r w:rsidR="00E0558D">
        <w:fldChar w:fldCharType="separate"/>
      </w:r>
      <w:r w:rsidR="00E0558D">
        <w:rPr>
          <w:noProof/>
        </w:rPr>
        <w:t>(Levin et al., 2009; Rozanski et al., 2019)</w:t>
      </w:r>
      <w:r w:rsidR="00E0558D">
        <w:fldChar w:fldCharType="end"/>
      </w:r>
      <w:r>
        <w:t>. </w:t>
      </w:r>
    </w:p>
    <w:p w14:paraId="7C761FE8" w14:textId="77777777" w:rsidR="00BA3B22" w:rsidRDefault="00D32FFE">
      <w:pPr>
        <w:pStyle w:val="BodyText"/>
      </w:pPr>
      <w:r>
        <w:t>(</w:t>
      </w:r>
      <w:r>
        <w:rPr>
          <w:i/>
        </w:rPr>
        <w:t>Direct introduction to the motivation and approach of this study. Typically a statement is made about the high-level results of this paper, which primes the reader for what’s to follow</w:t>
      </w:r>
      <w:r>
        <w:t>)</w:t>
      </w:r>
    </w:p>
    <w:p w14:paraId="5AB2F859" w14:textId="7DA5248D" w:rsidR="00BA3B22" w:rsidRDefault="00D32FFE">
      <w:pPr>
        <w:pStyle w:val="BodyText"/>
      </w:pPr>
      <w:r>
        <w:t>Recent developments in the benthic foraminifera stable isotope record through the Cenozoic have shown the influence of Milankovitch cycles on global climate change, however low-latitude hydrological systems and their effects on global water cycling are less well understood </w:t>
      </w:r>
      <w:r w:rsidR="00E0558D">
        <w:fldChar w:fldCharType="begin"/>
      </w:r>
      <w:r w:rsidR="00E0558D">
        <w:instrText xml:space="preserve"> ADDIN ZOTERO_ITEM CSL_CITATION {"citationID":"WyZfptce","properties":{"formattedCitation":"(Westerhold et al., 2020)","plainCitation":"(Westerhold et al., 2020)","noteIndex":0},"citationItems":[{"id":4311,"uris":["http://zotero.org/users/4132460/items/NUJ549BV"],"uri":["http://zotero.org/users/4132460/items/NUJ549BV"],"itemData":{"id":4311,"type":"article-journal","abstract":"Much of our understanding of Earth’s past climate comes from the measurement of oxygen and carbon isotope variations in deep-sea benthic foraminifera. Yet, long intervals in existing records lack the temporal resolution and age control needed to thoroughly categorize climate states of the Cenozoic era and to study their dynamics. Here, we present a new, highly resolved, astronomically dated, continuous composite of benthic foraminifer isotope records developed in our laboratories. Four climate states—Hothouse, Warmhouse, Coolhouse, Icehouse—are identified on the basis of their distinctive response to astronomical forcing depending on greenhouse gas concentrations and polar ice sheet volume. Statistical analysis of the nonlinear behavior encoded in our record reveals the key role that polar ice volume plays in the predictability of Cenozoic climate dynamics.","container-title":"Science","DOI":"10.1126/science.aba6853","ISSN":"0036-8075, 1095-9203","issue":"6509","journalAbbreviation":"Science","language":"en","page":"1383-1387","source":"DOI.org (Crossref)","title":"An astronomically dated record of Earth’s climate and its predictability over the last 66 million years","URL":"https://www.sciencemag.org/lookup/doi/10.1126/science.aba6853","volume":"369","author":[{"family":"Westerhold","given":"Thomas"},{"family":"Marwan","given":"Norbert"},{"family":"Drury","given":"Anna Joy"},{"family":"Liebrand","given":"Diederik"},{"family":"Agnini","given":"Claudia"},{"family":"Anagnostou","given":"Eleni"},{"family":"Barnet","given":"James S. K."},{"family":"Bohaty","given":"Steven M."},{"family":"De Vleeschouwer","given":"David"},{"family":"Florindo","given":"Fabio"},{"family":"Frederichs","given":"Thomas"},{"family":"Hodell","given":"David A."},{"family":"Holbourn","given":"Ann E."},{"family":"Kroon","given":"Dick"},{"family":"Lauretano","given":"Vittoria"},{"family":"Littler","given":"Kate"},{"family":"Lourens","given":"Lucas J."},{"family":"Lyle","given":"Mitchell"},{"family":"Pälike","given":"Heiko"},{"family":"Röhl","given":"Ursula"},{"family":"Tian","given":"Jun"},{"family":"Wilkens","given":"Roy H."},{"family":"Wilson","given":"Paul A."},{"family":"Zachos","given":"James C."}],"accessed":{"date-parts":[["2020",9,11]]},"issued":{"date-parts":[["2020",9,11]]}}}],"schema":"https://github.com/citation-style-language/schema/raw/master/csl-citation.json"} </w:instrText>
      </w:r>
      <w:r w:rsidR="00E0558D">
        <w:fldChar w:fldCharType="separate"/>
      </w:r>
      <w:r w:rsidR="00E0558D">
        <w:rPr>
          <w:noProof/>
        </w:rPr>
        <w:t>(Westerhold et al., 2020)</w:t>
      </w:r>
      <w:r w:rsidR="00E0558D">
        <w:fldChar w:fldCharType="end"/>
      </w:r>
      <w:r>
        <w:t>.  </w:t>
      </w:r>
    </w:p>
    <w:p w14:paraId="1EEE4BEB" w14:textId="77777777" w:rsidR="00BA3B22" w:rsidRDefault="00D32FFE">
      <w:pPr>
        <w:pStyle w:val="BodyText"/>
      </w:pPr>
      <w:r>
        <w:t>We draw upon analysis and modeling of isotope hydrology in other arid lake systems as a basis for establishing a model of isotope mass balance for Lake Turkana. </w:t>
      </w:r>
    </w:p>
    <w:p w14:paraId="48C861F4" w14:textId="2CE471EB" w:rsidR="00BA3B22" w:rsidRPr="00892467" w:rsidRDefault="00D32FFE" w:rsidP="00892467">
      <w:pPr>
        <w:pStyle w:val="Heading1"/>
      </w:pPr>
      <w:bookmarkStart w:id="1" w:name="materials-and-methods"/>
      <w:bookmarkEnd w:id="1"/>
      <w:r w:rsidRPr="00892467">
        <w:lastRenderedPageBreak/>
        <w:t>Materials and Methods</w:t>
      </w:r>
    </w:p>
    <w:p w14:paraId="4A62AE99" w14:textId="77777777" w:rsidR="00BA3B22" w:rsidRDefault="00D32FFE">
      <w:pPr>
        <w:pStyle w:val="FirstParagraph"/>
      </w:pPr>
      <w:r>
        <w:t>(</w:t>
      </w:r>
      <w:r>
        <w:rPr>
          <w:i/>
        </w:rPr>
        <w:t>A description of the various localities from which waters were collected, e.g., sampling along banks of the Turkwel River or from the beach at Kale. We just want to convey a bit - in words - how most of the samples were collected (as opposed to collecting water from a boat). Rainwater collection descriptions will be important in this regard.</w:t>
      </w:r>
      <w:r>
        <w:t>)</w:t>
      </w:r>
    </w:p>
    <w:p w14:paraId="46D0FF12" w14:textId="77777777" w:rsidR="00BA3B22" w:rsidRDefault="00D32FFE">
      <w:pPr>
        <w:pStyle w:val="BodyText"/>
      </w:pPr>
      <w:r>
        <w:t xml:space="preserve">Waters analyzed in this study were collected between September 2016 and January 2020 by the authors and collaborators working with the Turkana Basin Institute (TBI). Kale Beach, our most frequently visited Lake Turkana water sampling site, is a section of lake shore approximately 35 km south of the Omo River delta. All lake samples from Kale Beach and other sites were taken near shore, in areas where lake depth ranged from 1–2 m. River water samples from the Turkwel River were collected close to the river’s center line, where flow was moderate and water was at least 0.5 m deep. The Omo River was sampled from the shore under low-flow, sediment-rich water conditions. Precipitation was collected intermittently, as rainfall sufficient to yield a ~2 mL sample is infrequent. Available containers for rainwater were checked and emptied into vials immediately after rainfall ceased in order to minimize surface evaporation. Two of the precipitation samples were stored overnight in a vial that was loosely sealed; when analyzed, these samples were shown to have abnormally low δD values, and thus have been excluded from the discussion due to inconsistent preparation and evident isotopic exchange with air in the collection vial. Some precipitation samples were collected from the roof gutters at TBI-Ileret and TBI-Turkwel, or from an access point where rainwater flows from the roof into the building cisterns. This style of collection </w:t>
      </w:r>
      <w:r>
        <w:lastRenderedPageBreak/>
        <w:t>implies that building roofs were saturated with rainwater, which is only possible during a relatively heavy rain event.  </w:t>
      </w:r>
    </w:p>
    <w:p w14:paraId="5AD6270F" w14:textId="77777777" w:rsidR="00BA3B22" w:rsidRDefault="00D32FFE">
      <w:pPr>
        <w:pStyle w:val="BodyText"/>
      </w:pPr>
      <w:r>
        <w:t>With exception of the aforementioned precipitation samples, water samples were collected using 5 ml plastic syringes and filtered through 0.45 micron PTFE filters into 2 mL glass vials with plastic displacement caps for transport and storage. Vials were sealed in individual Whirl-pak bags to prevent evaporation or water loss during transport, which was replaced by parafilm upon return to the laboratory. Some samples, noted in Table S1, were not filtered in the field but contained no visible algal growth or sediment (suspended or settled). These were filtered in the laboratory before isotopic analysis.</w:t>
      </w:r>
    </w:p>
    <w:p w14:paraId="64A55C43" w14:textId="6297F355" w:rsidR="00BA3B22" w:rsidRDefault="00D32FFE">
      <w:pPr>
        <w:pStyle w:val="BodyText"/>
      </w:pPr>
      <w:r>
        <w:t>Stable isotope ratios of oxygen and hydrogen in the filtered waters were measured on a Picarro 2130i cavity ring down laser spectroscopy (CRDS) analyzer coupled to a vaporization module and Picarro autosampler in the University at Buffalo Organic and Stable Isotope Laboratory.  Data was corrected using Picarro post run corrections and in-house standards according to </w:t>
      </w:r>
      <w:r w:rsidR="00E0558D">
        <w:fldChar w:fldCharType="begin"/>
      </w:r>
      <w:r w:rsidR="00E0558D">
        <w:instrText xml:space="preserve"> ADDIN ZOTERO_ITEM CSL_CITATION {"citationID":"wwtzjk0D","properties":{"formattedCitation":"(van Geldern &amp; Barth, 2012)","plainCitation":"(van Geldern &amp; Barth, 2012)","noteIndex":0},"citationItems":[{"id":5950,"uris":["http://zotero.org/users/4132460/items/EV8U9WTG"],"uri":["http://zotero.org/users/4132460/items/EV8U9WTG"],"itemData":{"id":5950,"type":"article-journal","abstract":"Light stable isotope analyses of hydrogen (2H/1H) and oxygen (18O/16O) of water are used in many terrestrial and marine aquatic studies. The advantage of using stable isotope ratios is that water molecules serve as ubiquitous and already present natural tracers. Within recent years, these analyses have been revolutionized by the development of new isotope ratio laser spectroscopy (IRIS) systems that are cheaper, more robust, and mobile compared with traditional isotope ratio mass spectrometry (IRMS). Although easier to operate, laser systems also need thorough calibration with international reference materials, and raw data need correction for analytical effects (i.e., memory and drift). This study presents modifications to the hardware for liquid water injection, an optimized sequence layout and a simple post-run correction procedure. These protocols will maximize precision, accuracy, and sample throughput via an efficient memory correction. The number of injections per unknown sample can be reduced to 4 or less. This procedure meets the demands of faster throughput with reduced costs per analysis. Procedures presented here are based on real analyses. They were also verified by an international proficiency test and traditional IRMS techniques.","container-title":"Limnology and Oceanography: Methods","DOI":"10.4319/lom.2012.10.1024","ISSN":"1541-5856","issue":"12","language":"en","note":"_eprint: https://aslopubs.onlinelibrary.wiley.com/doi/pdf/10.4319/lom.2012.10.1024","page":"1024-1036","source":"Wiley Online Library","title":"Optimization of instrument setup and post-run corrections for oxygen and hydrogen stable isotope measurements of water by isotope ratio infrared spectroscopy (IRIS)","URL":"https://aslopubs.onlinelibrary.wiley.com/doi/abs/10.4319/lom.2012.10.1024","volume":"10","author":[{"family":"Geldern","given":"Robert","non-dropping-particle":"van"},{"family":"Barth","given":"Johannes A. C."}],"accessed":{"date-parts":[["2021",8,2]]},"issued":{"date-parts":[["2012"]]}}}],"schema":"https://github.com/citation-style-language/schema/raw/master/csl-citation.json"} </w:instrText>
      </w:r>
      <w:r w:rsidR="00E0558D">
        <w:fldChar w:fldCharType="separate"/>
      </w:r>
      <w:r w:rsidR="00E0558D">
        <w:rPr>
          <w:noProof/>
        </w:rPr>
        <w:t>van Geldern &amp; Barth (2012)</w:t>
      </w:r>
      <w:r w:rsidR="00E0558D">
        <w:fldChar w:fldCharType="end"/>
      </w:r>
      <w:r>
        <w:t>. A few of the waters were measured by TC/EA-IRMS at the Boston University Stable Isotope Laboratory in early 2017.</w:t>
      </w:r>
    </w:p>
    <w:p w14:paraId="36D1732C" w14:textId="77777777" w:rsidR="00BA3B22" w:rsidRDefault="00D32FFE">
      <w:pPr>
        <w:pStyle w:val="Heading1"/>
      </w:pPr>
      <w:bookmarkStart w:id="2" w:name="results-and-discussion"/>
      <w:bookmarkEnd w:id="2"/>
      <w:r>
        <w:t>Results and Discussion</w:t>
      </w:r>
    </w:p>
    <w:p w14:paraId="4B23A1EE" w14:textId="51A1A8E5" w:rsidR="00BA3B22" w:rsidRDefault="00D32FFE" w:rsidP="00892467">
      <w:pPr>
        <w:pStyle w:val="FirstParagraph"/>
      </w:pPr>
      <w:r>
        <w:t>(</w:t>
      </w:r>
      <w:r>
        <w:rPr>
          <w:i/>
        </w:rPr>
        <w:t>This later section, whether together or broken out into separate sections, should focus on whole-dataset observations first (i.e., the multi-panel </w:t>
      </w:r>
      <m:oMath>
        <m:r>
          <w:rPr>
            <w:rFonts w:ascii="Cambria Math" w:hAnsi="Cambria Math"/>
          </w:rPr>
          <m:t>δ</m:t>
        </m:r>
      </m:oMath>
      <w:r>
        <w:rPr>
          <w:i/>
        </w:rPr>
        <w:t>-</w:t>
      </w:r>
      <m:oMath>
        <m:r>
          <w:rPr>
            <w:rFonts w:ascii="Cambria Math" w:hAnsi="Cambria Math"/>
          </w:rPr>
          <m:t>δ</m:t>
        </m:r>
      </m:oMath>
      <w:r>
        <w:t xml:space="preserve"> </w:t>
      </w:r>
      <w:r>
        <w:rPr>
          <w:i/>
        </w:rPr>
        <w:t xml:space="preserve">plot) and then specific features (e.g., the lake water evaporation or temporal trends) thereafter. In text we should report water-type statistics where relevant (e.g., average lake water isotopes and their range). The discussion should probably include a comparison with </w:t>
      </w:r>
      <w:r>
        <w:rPr>
          <w:i/>
        </w:rPr>
        <w:lastRenderedPageBreak/>
        <w:t>other hot, arid, closed-basin lake water isotope studies. Start with other East African lakes and then branch out to other continents. </w:t>
      </w:r>
      <w:r>
        <w:t xml:space="preserve">(Jasechko et al., 2013) </w:t>
      </w:r>
      <w:r>
        <w:rPr>
          <w:i/>
        </w:rPr>
        <w:t>has a good compilation of lake water data, so that’s where I’d start (their Table S.5).</w:t>
      </w:r>
      <w:r>
        <w:t>)</w:t>
      </w:r>
    </w:p>
    <w:p w14:paraId="31080B31" w14:textId="77777777" w:rsidR="00BA3B22" w:rsidRDefault="00D32FFE">
      <w:pPr>
        <w:pStyle w:val="Heading2"/>
      </w:pPr>
      <w:bookmarkStart w:id="3" w:name="evaporation-model"/>
      <w:bookmarkEnd w:id="3"/>
      <w:r>
        <w:t>Evaporation model</w:t>
      </w:r>
    </w:p>
    <w:p w14:paraId="1CA22793" w14:textId="2BA094DB" w:rsidR="00BA3B22" w:rsidRDefault="00D32FFE">
      <w:pPr>
        <w:pStyle w:val="FirstParagraph"/>
      </w:pPr>
      <w:r>
        <w:t>Isotopic fractionation factors between liquid water and water vapor were calculated using typical air temperatures according to equations of Horita &amp; Wesolowski; under typical Turkana Basin conditions (mean annual air temperature: TC°C), α</w:t>
      </w:r>
      <w:r>
        <w:rPr>
          <w:vertAlign w:val="subscript"/>
        </w:rPr>
        <w:t>l-v</w:t>
      </w:r>
      <w:r>
        <w:t>(D) = α value for MAT and α</w:t>
      </w:r>
      <w:r>
        <w:rPr>
          <w:vertAlign w:val="subscript"/>
        </w:rPr>
        <w:t>l-v</w:t>
      </w:r>
      <w:r>
        <w:t>(</w:t>
      </w:r>
      <w:r>
        <w:rPr>
          <w:vertAlign w:val="superscript"/>
        </w:rPr>
        <w:t>18</w:t>
      </w:r>
      <w:r>
        <w:t>O) = α value for MAT </w:t>
      </w:r>
      <w:r w:rsidR="00E0558D">
        <w:fldChar w:fldCharType="begin"/>
      </w:r>
      <w:r w:rsidR="00E0558D">
        <w:instrText xml:space="preserve"> ADDIN ZOTERO_ITEM CSL_CITATION {"citationID":"sO6t3P4W","properties":{"formattedCitation":"(Horita &amp; Wesolowski, 1994)","plainCitation":"(Horita &amp; Wesolowski, 1994)","noteIndex":0},"citationItems":[{"id":4269,"uris":["http://zotero.org/users/4132460/items/LG2NCNRC"],"uri":["http://zotero.org/users/4132460/items/LG2NCNRC"],"itemData":{"id":4269,"type":"article-journal","container-title":"Geochimica et Cosmochimica Acta","DOI":"10.1016/0016-7037(94)90096-5","ISSN":"00167037","issue":"16","journalAbbreviation":"Geochimica et Cosmochimica Acta","language":"en","page":"3425-3437","source":"DOI.org (Crossref)","title":"Liquid-vapor fractionation of oxygen and hydrogen isotopes of water from the freezing to the critical temperature","URL":"https://linkinghub.elsevier.com/retrieve/pii/0016703794900965","volume":"58","author":[{"family":"Horita","given":"Juske"},{"family":"Wesolowski","given":"David J."}],"accessed":{"date-parts":[["2020",9,2]]},"issued":{"date-parts":[["1994",8]]}}}],"schema":"https://github.com/citation-style-language/schema/raw/master/csl-citation.json"} </w:instrText>
      </w:r>
      <w:r w:rsidR="00E0558D">
        <w:fldChar w:fldCharType="separate"/>
      </w:r>
      <w:r w:rsidR="00E0558D">
        <w:rPr>
          <w:noProof/>
        </w:rPr>
        <w:t>(Horita &amp; Wesolowski, 1994)</w:t>
      </w:r>
      <w:r w:rsidR="00E0558D">
        <w:fldChar w:fldCharType="end"/>
      </w:r>
      <w:r>
        <w:t>. Diffusion-controlled fractionation factors were determined for a relative humidity of %RH, an approximate value for the air-water interface </w:t>
      </w:r>
      <w:r w:rsidR="00E0558D">
        <w:fldChar w:fldCharType="begin"/>
      </w:r>
      <w:r w:rsidR="00E0558D">
        <w:instrText xml:space="preserve"> ADDIN ZOTERO_ITEM CSL_CITATION {"citationID":"hAddb564","properties":{"formattedCitation":"(Horita et al., 2008)","plainCitation":"(Horita et al., 2008)","noteIndex":0},"citationItems":[{"id":4273,"uris":["http://zotero.org/users/4132460/items/QNDPS9U9"],"uri":["http://zotero.org/users/4132460/items/QNDPS9U9"],"itemData":{"id":4273,"type":"article-journal","container-title":"Isotopes in Environmental and Health Studies","DOI":"10.1080/10256010801887174","ISSN":"1025-6016, 1477-2639","issue":"1","journalAbbreviation":"Isotopes in Environmental and Health Studies","language":"en","page":"23-49","source":"DOI.org (Crossref)","title":"Isotope effects in the evaporation of water: a status report of the Craig–Gordon model","title-short":"Isotope effects in the evaporation of water","URL":"http://www.tandfonline.com/doi/abs/10.1080/10256010801887174","volume":"44","author":[{"family":"Horita","given":"Juske"},{"family":"Rozanski","given":"Kazimierz"},{"family":"Cohen","given":"Shabtai"}],"accessed":{"date-parts":[["2020",9,2]]},"issued":{"date-parts":[["2008",3]]}}}],"schema":"https://github.com/citation-style-language/schema/raw/master/csl-citation.json"} </w:instrText>
      </w:r>
      <w:r w:rsidR="00E0558D">
        <w:fldChar w:fldCharType="separate"/>
      </w:r>
      <w:r w:rsidR="00E0558D">
        <w:rPr>
          <w:noProof/>
        </w:rPr>
        <w:t>(Horita et al., 2008)</w:t>
      </w:r>
      <w:r w:rsidR="00E0558D">
        <w:fldChar w:fldCharType="end"/>
      </w:r>
      <w:r>
        <w:t>. </w:t>
      </w:r>
    </w:p>
    <w:p w14:paraId="13D504E7" w14:textId="0CF3B428" w:rsidR="00BA3B22" w:rsidRDefault="00D32FFE">
      <w:pPr>
        <w:pStyle w:val="BodyText"/>
      </w:pPr>
      <w:r>
        <w:t>Lake water isotope ratios were modelled across a range of scenarios. The slope </w:t>
      </w:r>
      <w:r>
        <w:rPr>
          <w:i/>
        </w:rPr>
        <w:t>m</w:t>
      </w:r>
      <w:r>
        <w:t> is defined as a temporal enrichment slope, where </w:t>
      </w:r>
      <w:r>
        <w:rPr>
          <w:i/>
        </w:rPr>
        <w:t>x</w:t>
      </w:r>
      <w:r>
        <w:t> is a dimensionless quantity between 0-1, representing hydrological conditions from throughflow to full evaporation </w:t>
      </w:r>
      <w:r w:rsidR="00E0558D">
        <w:fldChar w:fldCharType="begin"/>
      </w:r>
      <w:r w:rsidR="00E0558D">
        <w:instrText xml:space="preserve"> ADDIN ZOTERO_ITEM CSL_CITATION {"citationID":"jNKE0EQU","properties":{"formattedCitation":"(Gibson et al., 2016; Horita, 1990)","plainCitation":"(Gibson et al., 2016; Horita, 1990)","noteIndex":0},"citationItems":[{"id":595,"uris":["http://zotero.org/users/4132460/items/PNPQ5T7F"],"uri":["http://zotero.org/users/4132460/items/PNPQ5T7F"],"itemData":{"id":595,"type":"article-journal","abstract":"The theoretical basis for application of stable isotope mass balance of lakes is described for a range of climatic situations including low latitude, high latitude, high altitude, continental and coastal systems, as well as cases where the atmospheric boundary layer is significantly modified by the lake evaporation process. The effects of seasonality on isotopic offset between precipitation and atmospheric vapour and the slope of the local evaporation line are described. Atmospheric feedback and its role in labelling the isotopic composition of the Laurentian Great Lakes and tropical lakes is discussed. Several important considerations are suggested to improve parameterization of quantitative paleoclimatic reconstructions including use of assumptions that are appropriate for the climatic setting, for the atmospheric feedback situation, for salinity, and headwater setting. Potential for use of dual-isotopes to trace past changes in seasonality and input, and a dual-lake index method that can potentially be used to trace connectivity of lakes are presented. In cases where modern or paleo-evaporation systems may be under-defined there are inherent limitations in the degree of quantification that can be attained.","collection-title":"Water Isotope Systematics","container-title":"Quaternary Science Reviews","DOI":"10.1016/j.quascirev.2015.04.013","ISSN":"0277-3791","journalAbbreviation":"Quaternary Science Reviews","page":"316-328","source":"ScienceDirect","title":"Stable isotope mass balance of lakes: a contemporary perspective","title-short":"Stable isotope mass balance of lakes","URL":"http://www.sciencedirect.com/science/article/pii/S0277379115001559","volume":"131","author":[{"family":"Gibson","given":"J. J."},{"family":"Birks","given":"S. J."},{"family":"Yi","given":"Y."}],"accessed":{"date-parts":[["2018",7,21]]},"issued":{"date-parts":[["2016",1,1]]}}},{"id":4309,"uris":["http://zotero.org/users/4132460/items/QIVVFW9Y"],"uri":["http://zotero.org/users/4132460/items/QIVVFW9Y"],"itemData":{"id":4309,"type":"article-journal","abstract":"The isotopic composition of brine inclusions in halite can be used as paleohydrologic and paleoclimatic indicators in arid environments. For this purpose, steady-state isotopic models of the brine inclusions in halite were developed for three hydrologic regimes: the “evaporation pan,” “terminal-lake,” and “through-flow lake” or “strait-exchange sea.” The model calculations predict that the steady-state isotopic compositions are sensitive to the hydrologic regime, to the normalized relative humidity, and to the isotopic compositions of atmospheric water vapor and inflow water. Short-term fluctuations of the isotopic parameters in the steady-state equations are not important, and in general only the long-term mean values are recorded in the brine inclusions in halite. Modern and old (up to 1.95 Ma) samples of nonmarine halite from Searles Lake (California) were analyzed for the chemical and isotopic compositions of the brine inclusions. From the modem surface halite, the isotopic composition of the atmospheric water (probably of the winter time) and the probable seasons when the halite samples were deposited were obtained. From brine inclusions of the 1.3 Ma halite, the annual-mean isotopic compositions of atmospheric water vapor and inflow water were calculated using the steady-state “terminal lake” model. The calculated isotopic composition of the 1.3 Ma inflow water shows a 6D enrichment of about 60%0 compared to the modern counterpart. The amount of this 6D enrichment is similar to that found from the calcite veins at the Spring Mountain in Nevada (WINOGRAD et al., 1985), which was attributed to the effect of the orogeny of the Sierra Nevada. The chemical composition of the brine inclusions indicates that the Owens River was more enriched in HCO;( +CO:-) 10,000 and 28,000 a ago than at present, probably due to larger contribution of Long Valley caldera hot spring waters.","container-title":"Geochimica et Cosmochimica Acta","DOI":"10.1016/0016-7037(90)90271-L","ISSN":"00167037","issue":"7","journalAbbreviation":"Geochimica et Cosmochimica Acta","language":"en","page":"2059-2073","source":"DOI.org (Crossref)","title":"Stable isotope paleoclimatology of brine inclusions in halite: Modeling and application to Searles Lake, California","title-short":"Stable isotope paleoclimatology of brine inclusions in halite","URL":"https://linkinghub.elsevier.com/retrieve/pii/001670379090271L","volume":"54","author":[{"family":"Horita","given":"Juske"}],"accessed":{"date-parts":[["2020",9,10]]},"issued":{"date-parts":[["1990",7]]}}}],"schema":"https://github.com/citation-style-language/schema/raw/master/csl-citation.json"} </w:instrText>
      </w:r>
      <w:r w:rsidR="00E0558D">
        <w:fldChar w:fldCharType="separate"/>
      </w:r>
      <w:r w:rsidR="00E0558D">
        <w:rPr>
          <w:noProof/>
        </w:rPr>
        <w:t>(Gibson et al., 2016; Horita, 1990)</w:t>
      </w:r>
      <w:r w:rsidR="00E0558D">
        <w:fldChar w:fldCharType="end"/>
      </w:r>
      <w:r>
        <w:t>.</w:t>
      </w:r>
    </w:p>
    <w:p w14:paraId="6E29C4DE" w14:textId="77777777" w:rsidR="00BA3B22" w:rsidRDefault="003304C0">
      <w:pPr>
        <w:pStyle w:val="BodyText"/>
      </w:pPr>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m:t>
              </m:r>
              <m:sSup>
                <m:sSupPr>
                  <m:ctrlPr>
                    <w:rPr>
                      <w:rFonts w:ascii="Cambria Math" w:hAnsi="Cambria Math"/>
                    </w:rPr>
                  </m:ctrlPr>
                </m:sSupPr>
                <m:e>
                  <m:r>
                    <w:rPr>
                      <w:rFonts w:ascii="Cambria Math" w:hAnsi="Cambria Math"/>
                    </w:rPr>
                    <m:t>δ</m:t>
                  </m:r>
                </m:e>
                <m:sup>
                  <m:r>
                    <w:rPr>
                      <w:rFonts w:ascii="Cambria Math" w:hAnsi="Cambria Math"/>
                    </w:rPr>
                    <m:t>*</m:t>
                  </m:r>
                </m:sup>
              </m:sSup>
              <m:r>
                <w:rPr>
                  <w:rFonts w:ascii="Cambria Math" w:hAnsi="Cambria Math"/>
                </w:rPr>
                <m:t>(x)</m:t>
              </m:r>
            </m:num>
            <m:den>
              <m:r>
                <w:rPr>
                  <w:rFonts w:ascii="Cambria Math" w:hAnsi="Cambria Math"/>
                </w:rPr>
                <m:t>1+m(x)</m:t>
              </m:r>
            </m:den>
          </m:f>
          <m:r>
            <w:rPr>
              <w:rFonts w:ascii="Cambria Math" w:hAnsi="Cambria Math"/>
            </w:rPr>
            <m:t> (‰)</m:t>
          </m:r>
        </m:oMath>
      </m:oMathPara>
    </w:p>
    <w:p w14:paraId="53726645" w14:textId="5D51DE4E" w:rsidR="00BA3B22" w:rsidRDefault="00D32FFE">
      <w:pPr>
        <w:pStyle w:val="FirstParagraph"/>
      </w:pPr>
      <w:r>
        <w:t>Limiting isotope ratios </w:t>
      </w:r>
      <w:r>
        <w:rPr>
          <w:i/>
        </w:rPr>
        <w:t>δ</w:t>
      </w:r>
      <w:r>
        <w:rPr>
          <w:i/>
          <w:vertAlign w:val="superscript"/>
        </w:rPr>
        <w:t>*</w:t>
      </w:r>
      <w:r>
        <w:rPr>
          <w:vertAlign w:val="superscript"/>
        </w:rPr>
        <w:t> </w:t>
      </w:r>
      <w:r>
        <w:t>are approached as </w:t>
      </w:r>
      <w:r>
        <w:rPr>
          <w:i/>
        </w:rPr>
        <w:t>x</w:t>
      </w:r>
      <w:r>
        <w:t> → 1. For a relative humidity </w:t>
      </w:r>
      <w:r>
        <w:rPr>
          <w:i/>
        </w:rPr>
        <w:t>h</w:t>
      </w:r>
      <w:r>
        <w:t> and the associated fractionation factors, </w:t>
      </w:r>
      <w:r>
        <w:rPr>
          <w:i/>
        </w:rPr>
        <w:t>δ</w:t>
      </w:r>
      <w:r>
        <w:rPr>
          <w:i/>
          <w:vertAlign w:val="superscript"/>
        </w:rPr>
        <w:t>*</w:t>
      </w:r>
      <w:r>
        <w:t xml:space="preserve"> is calculated as follows </w:t>
      </w:r>
      <w:r w:rsidR="00E0558D">
        <w:fldChar w:fldCharType="begin"/>
      </w:r>
      <w:r w:rsidR="00E0558D">
        <w:instrText xml:space="preserve"> ADDIN ZOTERO_ITEM CSL_CITATION {"citationID":"L2yswaUe","properties":{"formattedCitation":"(Gibson et al., 2016)","plainCitation":"(Gibson et al., 2016)","noteIndex":0},"citationItems":[{"id":595,"uris":["http://zotero.org/users/4132460/items/PNPQ5T7F"],"uri":["http://zotero.org/users/4132460/items/PNPQ5T7F"],"itemData":{"id":595,"type":"article-journal","abstract":"The theoretical basis for application of stable isotope mass balance of lakes is described for a range of climatic situations including low latitude, high latitude, high altitude, continental and coastal systems, as well as cases where the atmospheric boundary layer is significantly modified by the lake evaporation process. The effects of seasonality on isotopic offset between precipitation and atmospheric vapour and the slope of the local evaporation line are described. Atmospheric feedback and its role in labelling the isotopic composition of the Laurentian Great Lakes and tropical lakes is discussed. Several important considerations are suggested to improve parameterization of quantitative paleoclimatic reconstructions including use of assumptions that are appropriate for the climatic setting, for the atmospheric feedback situation, for salinity, and headwater setting. Potential for use of dual-isotopes to trace past changes in seasonality and input, and a dual-lake index method that can potentially be used to trace connectivity of lakes are presented. In cases where modern or paleo-evaporation systems may be under-defined there are inherent limitations in the degree of quantification that can be attained.","collection-title":"Water Isotope Systematics","container-title":"Quaternary Science Reviews","DOI":"10.1016/j.quascirev.2015.04.013","ISSN":"0277-3791","journalAbbreviation":"Quaternary Science Reviews","page":"316-328","source":"ScienceDirect","title":"Stable isotope mass balance of lakes: a contemporary perspective","title-short":"Stable isotope mass balance of lakes","URL":"http://www.sciencedirect.com/science/article/pii/S0277379115001559","volume":"131","author":[{"family":"Gibson","given":"J. J."},{"family":"Birks","given":"S. J."},{"family":"Yi","given":"Y."}],"accessed":{"date-parts":[["2018",7,21]]},"issued":{"date-parts":[["2016",1,1]]}}}],"schema":"https://github.com/citation-style-language/schema/raw/master/csl-citation.json"} </w:instrText>
      </w:r>
      <w:r w:rsidR="00E0558D">
        <w:fldChar w:fldCharType="separate"/>
      </w:r>
      <w:r w:rsidR="00E0558D">
        <w:rPr>
          <w:noProof/>
        </w:rPr>
        <w:t>(Gibson et al., 2016)</w:t>
      </w:r>
      <w:r w:rsidR="00E0558D">
        <w:fldChar w:fldCharType="end"/>
      </w:r>
      <w:r>
        <w:t>: </w:t>
      </w:r>
    </w:p>
    <w:p w14:paraId="66CA3503" w14:textId="77777777" w:rsidR="00BA3B22" w:rsidRDefault="00D32FFE">
      <w:pPr>
        <w:pStyle w:val="BodyText"/>
      </w:pPr>
      <w:r>
        <w:t>$$\delta^*=\frac{h \delta_A + \varepsilon _\mathrm{k} + \frac{\varepsilon^+}{\alpha^+}}{h-10^{-3}(\varepsilon _\mathrm{k} + \frac{\varepsilon^+}{\alpha^+})} \ (\char "2030)$$</w:t>
      </w:r>
    </w:p>
    <w:p w14:paraId="7660AD05" w14:textId="77777777" w:rsidR="00BA3B22" w:rsidRDefault="00D32FFE">
      <w:pPr>
        <w:pStyle w:val="FirstParagraph"/>
      </w:pPr>
      <w:r>
        <w:lastRenderedPageBreak/>
        <w:t>The resulting evaporation line describes both lake water and evaporate </w:t>
      </w:r>
      <w:r>
        <w:rPr>
          <w:i/>
        </w:rPr>
        <w:t>δ</w:t>
      </w:r>
      <w:r>
        <w:t> values, and is thus defined: </w:t>
      </w:r>
    </w:p>
    <w:p w14:paraId="75DA9F76" w14:textId="77777777" w:rsidR="00BA3B22" w:rsidRDefault="003304C0">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LEL</m:t>
              </m:r>
            </m:sub>
          </m:sSub>
          <m:r>
            <w:rPr>
              <w:rFonts w:ascii="Cambria Math" w:hAnsi="Cambria Math"/>
            </w:rPr>
            <m:t>=</m:t>
          </m:r>
          <m:f>
            <m:fPr>
              <m:ctrlPr>
                <w:rPr>
                  <w:rFonts w:ascii="Cambria Math" w:hAnsi="Cambria Math"/>
                </w:rPr>
              </m:ctrlPr>
            </m:fPr>
            <m:num>
              <m:r>
                <w:rPr>
                  <w:rFonts w:ascii="Cambria Math" w:hAnsi="Cambria Math"/>
                </w:rPr>
                <m:t>δ</m:t>
              </m:r>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-δ</m:t>
              </m:r>
              <m:sSub>
                <m:sSubPr>
                  <m:ctrlPr>
                    <w:rPr>
                      <w:rFonts w:ascii="Cambria Math" w:hAnsi="Cambria Math"/>
                    </w:rPr>
                  </m:ctrlPr>
                </m:sSubPr>
                <m:e>
                  <m:r>
                    <w:rPr>
                      <w:rFonts w:ascii="Cambria Math" w:hAnsi="Cambria Math"/>
                    </w:rPr>
                    <m:t>D</m:t>
                  </m:r>
                </m:e>
                <m:sub>
                  <m:r>
                    <w:rPr>
                      <w:rFonts w:ascii="Cambria Math" w:hAnsi="Cambria Math"/>
                    </w:rPr>
                    <m:t>i</m:t>
                  </m:r>
                </m:sub>
              </m:sSub>
            </m:num>
            <m:den>
              <m:sSup>
                <m:sSupPr>
                  <m:ctrlPr>
                    <w:rPr>
                      <w:rFonts w:ascii="Cambria Math" w:hAnsi="Cambria Math"/>
                    </w:rPr>
                  </m:ctrlPr>
                </m:sSupPr>
                <m:e>
                  <m:r>
                    <w:rPr>
                      <w:rFonts w:ascii="Cambria Math" w:hAnsi="Cambria Math"/>
                    </w:rPr>
                    <m:t>δ</m:t>
                  </m:r>
                </m:e>
                <m:sup>
                  <m:r>
                    <w:rPr>
                      <w:rFonts w:ascii="Cambria Math" w:hAnsi="Cambria Math"/>
                    </w:rPr>
                    <m:t>18</m:t>
                  </m:r>
                </m:sup>
              </m:sSup>
              <m:sSup>
                <m:sSupPr>
                  <m:ctrlPr>
                    <w:rPr>
                      <w:rFonts w:ascii="Cambria Math" w:hAnsi="Cambria Math"/>
                    </w:rPr>
                  </m:ctrlPr>
                </m:sSupPr>
                <m:e>
                  <m:r>
                    <w:rPr>
                      <w:rFonts w:ascii="Cambria Math" w:hAnsi="Cambria Math"/>
                    </w:rPr>
                    <m:t>O</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18</m:t>
                  </m:r>
                </m:sup>
              </m:sSup>
              <m:sSub>
                <m:sSubPr>
                  <m:ctrlPr>
                    <w:rPr>
                      <w:rFonts w:ascii="Cambria Math" w:hAnsi="Cambria Math"/>
                    </w:rPr>
                  </m:ctrlPr>
                </m:sSubPr>
                <m:e>
                  <m:r>
                    <w:rPr>
                      <w:rFonts w:ascii="Cambria Math" w:hAnsi="Cambria Math"/>
                    </w:rPr>
                    <m:t>O</m:t>
                  </m:r>
                </m:e>
                <m:sub>
                  <m:r>
                    <w:rPr>
                      <w:rFonts w:ascii="Cambria Math" w:hAnsi="Cambria Math"/>
                    </w:rPr>
                    <m:t>i</m:t>
                  </m:r>
                </m:sub>
              </m:sSub>
            </m:den>
          </m:f>
        </m:oMath>
      </m:oMathPara>
    </w:p>
    <w:p w14:paraId="5F245B71" w14:textId="77777777" w:rsidR="00BA3B22" w:rsidRDefault="00D32FFE">
      <w:pPr>
        <w:pStyle w:val="FigurewithCaption"/>
      </w:pPr>
      <w:r>
        <w:rPr>
          <w:noProof/>
        </w:rPr>
        <w:drawing>
          <wp:inline distT="0" distB="0" distL="0" distR="0" wp14:anchorId="10870E4E" wp14:editId="283C9397">
            <wp:extent cx="5334000" cy="5334000"/>
            <wp:effectExtent l="0" t="0" r="0" b="0"/>
            <wp:docPr id="1" name="Picture" descr="Local evaporation line &amp;c "/>
            <wp:cNvGraphicFramePr/>
            <a:graphic xmlns:a="http://schemas.openxmlformats.org/drawingml/2006/main">
              <a:graphicData uri="http://schemas.openxmlformats.org/drawingml/2006/picture">
                <pic:pic xmlns:pic="http://schemas.openxmlformats.org/drawingml/2006/picture">
                  <pic:nvPicPr>
                    <pic:cNvPr id="0" name="Picture" descr="figures/000007/LELmodel.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10D4D558" w14:textId="77777777" w:rsidR="00BA3B22" w:rsidRDefault="00D32FFE">
      <w:pPr>
        <w:pStyle w:val="ImageCaption"/>
      </w:pPr>
      <w:r>
        <w:t xml:space="preserve">Local evaporation line &amp;c </w:t>
      </w:r>
    </w:p>
    <w:p w14:paraId="50095BE5" w14:textId="46F2DDFB" w:rsidR="00BA3B22" w:rsidRDefault="00D32FFE">
      <w:pPr>
        <w:pStyle w:val="BodyText"/>
      </w:pPr>
      <w:r>
        <w:rPr>
          <w:i/>
        </w:rPr>
        <w:t>Possible that precip input has more of an influence than previously thought? </w:t>
      </w:r>
      <w:r>
        <w:t xml:space="preserve">Water vapor samples taken in a vertical profile above the lake would indicate </w:t>
      </w:r>
      <w:r>
        <w:lastRenderedPageBreak/>
        <w:t>whether the isotopic composition of the free atmosphere is or is not in equilibrium with precipitation </w:t>
      </w:r>
      <w:r w:rsidR="00E0558D">
        <w:fldChar w:fldCharType="begin"/>
      </w:r>
      <w:r w:rsidR="00E0558D">
        <w:instrText xml:space="preserve"> ADDIN ZOTERO_ITEM CSL_CITATION {"citationID":"l3j5wkVF","properties":{"formattedCitation":"(Froehlich et al., 2005)","plainCitation":"(Froehlich et al., 2005)","noteIndex":0},"citationItems":[{"id":4260,"uris":["http://zotero.org/users/4132460/items/JNVH5XHU"],"uri":["http://zotero.org/users/4132460/items/JNVH5XHU"],"itemData":{"id":4260,"type":"chapter","call-number":"GB656.2.R34 I834 2005","container-title":"Isotopes in the water cycle: past, present and future of a developing science","event-place":"Dordrecht, the Netherlands","ISBN":"978-1-4020-3010-9","language":"en","note":"OCLC: ocm62185954","publisher":"Springer","publisher-place":"Dordrecht, the Netherlands","source":"Library of Congress ISBN","title":"Isotopes in Lake Studies: A Historical Perspective","editor":[{"family":"Aggarwal","given":"Pradeep Kumar"},{"family":"Gat","given":"Joel"},{"family":"Froehlich","given":"Klaus F. O."}],"author":[{"family":"Froehlich","given":"Klaus F. O."},{"family":"Gonfiantini","given":"R."},{"family":"Rozanski","given":"K."}],"issued":{"date-parts":[["2005"]]}}}],"schema":"https://github.com/citation-style-language/schema/raw/master/csl-citation.json"} </w:instrText>
      </w:r>
      <w:r w:rsidR="00E0558D">
        <w:fldChar w:fldCharType="separate"/>
      </w:r>
      <w:r w:rsidR="00E0558D">
        <w:rPr>
          <w:noProof/>
        </w:rPr>
        <w:t>(Froehlich et al., 2005)</w:t>
      </w:r>
      <w:r w:rsidR="00E0558D">
        <w:fldChar w:fldCharType="end"/>
      </w:r>
      <w:r>
        <w:t>.</w:t>
      </w:r>
    </w:p>
    <w:p w14:paraId="1217529C" w14:textId="77777777" w:rsidR="00BA3B22" w:rsidRDefault="00D32FFE">
      <w:pPr>
        <w:pStyle w:val="TableCaption"/>
      </w:pPr>
      <w:r>
        <w:t xml:space="preserve">Water sample data </w:t>
      </w:r>
    </w:p>
    <w:p w14:paraId="2DEB44A0" w14:textId="77777777" w:rsidR="00BA3B22" w:rsidRDefault="00D32FFE">
      <w:pPr>
        <w:pStyle w:val="Heading2"/>
      </w:pPr>
      <w:bookmarkStart w:id="4" w:name="author-contributions"/>
      <w:bookmarkEnd w:id="4"/>
      <w:r>
        <w:t>Author Contributions</w:t>
      </w:r>
    </w:p>
    <w:p w14:paraId="35B46905" w14:textId="77777777" w:rsidR="00BA3B22" w:rsidRDefault="00D32FFE">
      <w:pPr>
        <w:pStyle w:val="FirstParagraph"/>
      </w:pPr>
      <w:r>
        <w:t>Conceived and designed the study: G.A.H., D.Y., and M.S. Collected samples, performed the analyses, and produced the figures: G.A.H., M.S., D.Y., and E.T. Analyzed the data: G.A.H., M.S., D.Y., and E.T. Wrote the paper: G.A.H., M.S., D.Y., and E.T.</w:t>
      </w:r>
    </w:p>
    <w:p w14:paraId="652DB5D0" w14:textId="77777777" w:rsidR="00BA3B22" w:rsidRDefault="00D32FFE">
      <w:pPr>
        <w:pStyle w:val="Heading2"/>
      </w:pPr>
      <w:bookmarkStart w:id="5" w:name="funding"/>
      <w:bookmarkEnd w:id="5"/>
      <w:r>
        <w:t>Funding</w:t>
      </w:r>
    </w:p>
    <w:p w14:paraId="25A4D3F7" w14:textId="77777777" w:rsidR="00BA3B22" w:rsidRDefault="00D32FFE">
      <w:pPr>
        <w:pStyle w:val="FirstParagraph"/>
      </w:pPr>
      <w:r>
        <w:t>This research was supported by Stony Brook University start-up funds to G.A.H., with partial fieldwork support from the Turkana Basin Institute Research Fund (to G.A.H.) and the Turkana Basin Institute Origins Field School.</w:t>
      </w:r>
    </w:p>
    <w:p w14:paraId="3F6477AF" w14:textId="77777777" w:rsidR="00BA3B22" w:rsidRDefault="00D32FFE">
      <w:pPr>
        <w:pStyle w:val="Heading2"/>
      </w:pPr>
      <w:bookmarkStart w:id="6" w:name="acknowledgments"/>
      <w:bookmarkEnd w:id="6"/>
      <w:r>
        <w:t>Acknowledgments</w:t>
      </w:r>
    </w:p>
    <w:p w14:paraId="0C503CF5" w14:textId="77777777" w:rsidR="00BA3B22" w:rsidRDefault="00D32FFE">
      <w:pPr>
        <w:pStyle w:val="FirstParagraph"/>
      </w:pPr>
      <w:r>
        <w:t>This work relied on the efforts of several Kenyan colleagues: Hillary Sale (TBI), William ??? (TBI),  Owen Cowling oversaw the isotope measurements at UB. Max Moriera helped make some measurements at UB. Get export permit information from Deming. </w:t>
      </w:r>
    </w:p>
    <w:p w14:paraId="7D3F484F" w14:textId="77777777" w:rsidR="00BA3B22" w:rsidRDefault="00D32FFE">
      <w:pPr>
        <w:pStyle w:val="Heading2"/>
      </w:pPr>
      <w:bookmarkStart w:id="7" w:name="conflicts-of-interest"/>
      <w:bookmarkEnd w:id="7"/>
      <w:r>
        <w:t>Conflicts of Interest</w:t>
      </w:r>
    </w:p>
    <w:p w14:paraId="69EA946C" w14:textId="4164B058" w:rsidR="00BA3B22" w:rsidRDefault="00D32FFE" w:rsidP="00892467">
      <w:pPr>
        <w:pStyle w:val="FirstParagraph"/>
      </w:pPr>
      <w:r>
        <w:t>The authors declare no conflict of interest.</w:t>
      </w:r>
    </w:p>
    <w:p w14:paraId="4ECDE98C" w14:textId="39BCC121" w:rsidR="00E0558D" w:rsidRPr="00E0558D" w:rsidRDefault="00E0558D" w:rsidP="00E0558D">
      <w:pPr>
        <w:pStyle w:val="Heading1"/>
      </w:pPr>
      <w:r>
        <w:t>References</w:t>
      </w:r>
    </w:p>
    <w:p w14:paraId="345D884E" w14:textId="77777777" w:rsidR="00E0558D" w:rsidRPr="00E0558D" w:rsidRDefault="00E0558D" w:rsidP="00E0558D">
      <w:pPr>
        <w:pStyle w:val="Bibliography"/>
      </w:pPr>
      <w:r>
        <w:fldChar w:fldCharType="begin"/>
      </w:r>
      <w:r>
        <w:instrText xml:space="preserve"> ADDIN ZOTERO_BIBL {"uncited":[],"omitted":[],"custom":[]} CSL_BIBLIOGRAPHY </w:instrText>
      </w:r>
      <w:r>
        <w:fldChar w:fldCharType="separate"/>
      </w:r>
      <w:r w:rsidRPr="00E0558D">
        <w:t xml:space="preserve">Avery, S. (2010). </w:t>
      </w:r>
      <w:r w:rsidRPr="00E0558D">
        <w:rPr>
          <w:i/>
          <w:iCs/>
        </w:rPr>
        <w:t>Hydrological Impacts of Ethiopia’s Omo Basin on Kenya’s Lake Turkana Water Levels &amp; Fisheries</w:t>
      </w:r>
      <w:r w:rsidRPr="00E0558D">
        <w:t>. African Development Bank.</w:t>
      </w:r>
    </w:p>
    <w:p w14:paraId="0342E3A5" w14:textId="77777777" w:rsidR="00E0558D" w:rsidRPr="00E0558D" w:rsidRDefault="00E0558D" w:rsidP="00E0558D">
      <w:pPr>
        <w:pStyle w:val="Bibliography"/>
      </w:pPr>
      <w:r w:rsidRPr="00E0558D">
        <w:t xml:space="preserve">Cerling, T. E. (1986). A mass-balance approach to basin sedimentation: Constraints on the recent history of the Turkana basin. </w:t>
      </w:r>
      <w:r w:rsidRPr="00E0558D">
        <w:rPr>
          <w:i/>
          <w:iCs/>
        </w:rPr>
        <w:t>Palaeogeography, Palaeoclimatology, Palaeoecology</w:t>
      </w:r>
      <w:r w:rsidRPr="00E0558D">
        <w:t xml:space="preserve">, </w:t>
      </w:r>
      <w:r w:rsidRPr="00E0558D">
        <w:rPr>
          <w:i/>
          <w:iCs/>
        </w:rPr>
        <w:t>54</w:t>
      </w:r>
      <w:r w:rsidRPr="00E0558D">
        <w:t>(1–4), 63–86. https://doi.org/10.1016/0031-0182(86)90118-5</w:t>
      </w:r>
    </w:p>
    <w:p w14:paraId="3823D31C" w14:textId="77777777" w:rsidR="00E0558D" w:rsidRPr="00E0558D" w:rsidRDefault="00E0558D" w:rsidP="00E0558D">
      <w:pPr>
        <w:pStyle w:val="Bibliography"/>
      </w:pPr>
      <w:r w:rsidRPr="00E0558D">
        <w:lastRenderedPageBreak/>
        <w:t xml:space="preserve">Craig, H. (1961). Atmospheric Variations in Meteoric Waters. </w:t>
      </w:r>
      <w:r w:rsidRPr="00E0558D">
        <w:rPr>
          <w:i/>
          <w:iCs/>
        </w:rPr>
        <w:t>Science</w:t>
      </w:r>
      <w:r w:rsidRPr="00E0558D">
        <w:t xml:space="preserve">, </w:t>
      </w:r>
      <w:r w:rsidRPr="00E0558D">
        <w:rPr>
          <w:i/>
          <w:iCs/>
        </w:rPr>
        <w:t>133</w:t>
      </w:r>
      <w:r w:rsidRPr="00E0558D">
        <w:t>, 1702–1703.</w:t>
      </w:r>
    </w:p>
    <w:p w14:paraId="5166AC6B" w14:textId="77777777" w:rsidR="00E0558D" w:rsidRPr="00E0558D" w:rsidRDefault="00E0558D" w:rsidP="00E0558D">
      <w:pPr>
        <w:pStyle w:val="Bibliography"/>
      </w:pPr>
      <w:r w:rsidRPr="00E0558D">
        <w:t xml:space="preserve">Froehlich, K. F. O., Gonfiantini, R., &amp; Rozanski, K. (2005). Isotopes in Lake Studies: A Historical Perspective. In P. K. Aggarwal, J. Gat, &amp; K. F. O. Froehlich (Eds.), </w:t>
      </w:r>
      <w:r w:rsidRPr="00E0558D">
        <w:rPr>
          <w:i/>
          <w:iCs/>
        </w:rPr>
        <w:t>Isotopes in the water cycle: past, present and future of a developing science</w:t>
      </w:r>
      <w:r w:rsidRPr="00E0558D">
        <w:t>. Dordrecht, the Netherlands: Springer.</w:t>
      </w:r>
    </w:p>
    <w:p w14:paraId="6AF16E25" w14:textId="77777777" w:rsidR="00E0558D" w:rsidRPr="00E0558D" w:rsidRDefault="00E0558D" w:rsidP="00E0558D">
      <w:pPr>
        <w:pStyle w:val="Bibliography"/>
      </w:pPr>
      <w:r w:rsidRPr="00E0558D">
        <w:t xml:space="preserve">van Geldern, R., &amp; Barth, J. A. C. (2012). Optimization of instrument setup and post-run corrections for oxygen and hydrogen stable isotope measurements of water by isotope ratio infrared spectroscopy (IRIS). </w:t>
      </w:r>
      <w:r w:rsidRPr="00E0558D">
        <w:rPr>
          <w:i/>
          <w:iCs/>
        </w:rPr>
        <w:t>Limnology and Oceanography: Methods</w:t>
      </w:r>
      <w:r w:rsidRPr="00E0558D">
        <w:t xml:space="preserve">, </w:t>
      </w:r>
      <w:r w:rsidRPr="00E0558D">
        <w:rPr>
          <w:i/>
          <w:iCs/>
        </w:rPr>
        <w:t>10</w:t>
      </w:r>
      <w:r w:rsidRPr="00E0558D">
        <w:t>(12), 1024–1036. https://doi.org/10.4319/lom.2012.10.1024</w:t>
      </w:r>
    </w:p>
    <w:p w14:paraId="4B1B6326" w14:textId="77777777" w:rsidR="00E0558D" w:rsidRPr="00E0558D" w:rsidRDefault="00E0558D" w:rsidP="00E0558D">
      <w:pPr>
        <w:pStyle w:val="Bibliography"/>
      </w:pPr>
      <w:r w:rsidRPr="00E0558D">
        <w:t xml:space="preserve">Gibson, J. J., &amp; Edwards, T. W. D. (2002). Regional water balance trends and evaporation-transpiration partitioning from a stable isotope survey of lakes in northern Canada: REGIONAL WATER BALANCE USING STABLE ISOTOPES. </w:t>
      </w:r>
      <w:r w:rsidRPr="00E0558D">
        <w:rPr>
          <w:i/>
          <w:iCs/>
        </w:rPr>
        <w:t>Global Biogeochemical Cycles</w:t>
      </w:r>
      <w:r w:rsidRPr="00E0558D">
        <w:t xml:space="preserve">, </w:t>
      </w:r>
      <w:r w:rsidRPr="00E0558D">
        <w:rPr>
          <w:i/>
          <w:iCs/>
        </w:rPr>
        <w:t>16</w:t>
      </w:r>
      <w:r w:rsidRPr="00E0558D">
        <w:t>(2), 10-1-10–14. https://doi.org/10.1029/2001GB001839</w:t>
      </w:r>
    </w:p>
    <w:p w14:paraId="74B77D3F" w14:textId="77777777" w:rsidR="00E0558D" w:rsidRPr="00E0558D" w:rsidRDefault="00E0558D" w:rsidP="00E0558D">
      <w:pPr>
        <w:pStyle w:val="Bibliography"/>
      </w:pPr>
      <w:r w:rsidRPr="00E0558D">
        <w:t xml:space="preserve">Gibson, J. J., Birks, S. J., &amp; Yi, Y. (2016). Stable isotope mass balance of lakes: a contemporary perspective. </w:t>
      </w:r>
      <w:r w:rsidRPr="00E0558D">
        <w:rPr>
          <w:i/>
          <w:iCs/>
        </w:rPr>
        <w:t>Quaternary Science Reviews</w:t>
      </w:r>
      <w:r w:rsidRPr="00E0558D">
        <w:t xml:space="preserve">, </w:t>
      </w:r>
      <w:r w:rsidRPr="00E0558D">
        <w:rPr>
          <w:i/>
          <w:iCs/>
        </w:rPr>
        <w:t>131</w:t>
      </w:r>
      <w:r w:rsidRPr="00E0558D">
        <w:t>, 316–328. https://doi.org/10.1016/j.quascirev.2015.04.013</w:t>
      </w:r>
    </w:p>
    <w:p w14:paraId="3E4CCEED" w14:textId="77777777" w:rsidR="00E0558D" w:rsidRPr="00E0558D" w:rsidRDefault="00E0558D" w:rsidP="00E0558D">
      <w:pPr>
        <w:pStyle w:val="Bibliography"/>
      </w:pPr>
      <w:r w:rsidRPr="00E0558D">
        <w:t xml:space="preserve">Hopson, A. J. (1982). </w:t>
      </w:r>
      <w:r w:rsidRPr="00E0558D">
        <w:rPr>
          <w:i/>
          <w:iCs/>
        </w:rPr>
        <w:t>Lake Turkana: a report on the findings of the Lake Turkana project, 1972-1975</w:t>
      </w:r>
      <w:r w:rsidRPr="00E0558D">
        <w:t xml:space="preserve"> (p. 382). London: Government of Kenya and The Ministry of Overseas Development.</w:t>
      </w:r>
    </w:p>
    <w:p w14:paraId="23AB2973" w14:textId="77777777" w:rsidR="00E0558D" w:rsidRPr="00E0558D" w:rsidRDefault="00E0558D" w:rsidP="00E0558D">
      <w:pPr>
        <w:pStyle w:val="Bibliography"/>
      </w:pPr>
      <w:r w:rsidRPr="00E0558D">
        <w:t xml:space="preserve">Horita, J. (1990). Stable isotope paleoclimatology of brine inclusions in halite: Modeling and application to Searles Lake, California. </w:t>
      </w:r>
      <w:r w:rsidRPr="00E0558D">
        <w:rPr>
          <w:i/>
          <w:iCs/>
        </w:rPr>
        <w:t>Geochimica et Cosmochimica Acta</w:t>
      </w:r>
      <w:r w:rsidRPr="00E0558D">
        <w:t xml:space="preserve">, </w:t>
      </w:r>
      <w:r w:rsidRPr="00E0558D">
        <w:rPr>
          <w:i/>
          <w:iCs/>
        </w:rPr>
        <w:t>54</w:t>
      </w:r>
      <w:r w:rsidRPr="00E0558D">
        <w:t>(7), 2059–2073. https://doi.org/10.1016/0016-7037(90)90271-L</w:t>
      </w:r>
    </w:p>
    <w:p w14:paraId="7861E1F6" w14:textId="77777777" w:rsidR="00E0558D" w:rsidRPr="00E0558D" w:rsidRDefault="00E0558D" w:rsidP="00E0558D">
      <w:pPr>
        <w:pStyle w:val="Bibliography"/>
      </w:pPr>
      <w:r w:rsidRPr="00E0558D">
        <w:t xml:space="preserve">Horita, J., &amp; Wesolowski, D. J. (1994). Liquid-vapor fractionation of oxygen and hydrogen isotopes of water from the freezing to the critical temperature. </w:t>
      </w:r>
      <w:r w:rsidRPr="00E0558D">
        <w:rPr>
          <w:i/>
          <w:iCs/>
        </w:rPr>
        <w:t>Geochimica et Cosmochimica Acta</w:t>
      </w:r>
      <w:r w:rsidRPr="00E0558D">
        <w:t xml:space="preserve">, </w:t>
      </w:r>
      <w:r w:rsidRPr="00E0558D">
        <w:rPr>
          <w:i/>
          <w:iCs/>
        </w:rPr>
        <w:t>58</w:t>
      </w:r>
      <w:r w:rsidRPr="00E0558D">
        <w:t>(16), 3425–3437. https://doi.org/10.1016/0016-7037(94)90096-5</w:t>
      </w:r>
    </w:p>
    <w:p w14:paraId="5E269B9E" w14:textId="77777777" w:rsidR="00E0558D" w:rsidRPr="00E0558D" w:rsidRDefault="00E0558D" w:rsidP="00E0558D">
      <w:pPr>
        <w:pStyle w:val="Bibliography"/>
      </w:pPr>
      <w:r w:rsidRPr="00E0558D">
        <w:t xml:space="preserve">Horita, J., Rozanski, K., &amp; Cohen, S. (2008). Isotope effects in the evaporation of water: a status report of the Craig–Gordon model. </w:t>
      </w:r>
      <w:r w:rsidRPr="00E0558D">
        <w:rPr>
          <w:i/>
          <w:iCs/>
        </w:rPr>
        <w:t>Isotopes in Environmental and Health Studies</w:t>
      </w:r>
      <w:r w:rsidRPr="00E0558D">
        <w:t xml:space="preserve">, </w:t>
      </w:r>
      <w:r w:rsidRPr="00E0558D">
        <w:rPr>
          <w:i/>
          <w:iCs/>
        </w:rPr>
        <w:t>44</w:t>
      </w:r>
      <w:r w:rsidRPr="00E0558D">
        <w:t>(1), 23–49. https://doi.org/10.1080/10256010801887174</w:t>
      </w:r>
    </w:p>
    <w:p w14:paraId="0A2CE2FB" w14:textId="77777777" w:rsidR="00E0558D" w:rsidRPr="00E0558D" w:rsidRDefault="00E0558D" w:rsidP="00E0558D">
      <w:pPr>
        <w:pStyle w:val="Bibliography"/>
      </w:pPr>
      <w:r w:rsidRPr="00E0558D">
        <w:t xml:space="preserve">Levin, N. E., Zipser, E. J., &amp; Cerling, T. E. (2009). Isotopic composition of waters from Ethiopia and Kenya: Insights into moisture sources for eastern Africa. </w:t>
      </w:r>
      <w:r w:rsidRPr="00E0558D">
        <w:rPr>
          <w:i/>
          <w:iCs/>
        </w:rPr>
        <w:t>Journal of Geophysical Research: Atmospheres</w:t>
      </w:r>
      <w:r w:rsidRPr="00E0558D">
        <w:t xml:space="preserve">, </w:t>
      </w:r>
      <w:r w:rsidRPr="00E0558D">
        <w:rPr>
          <w:i/>
          <w:iCs/>
        </w:rPr>
        <w:t>114</w:t>
      </w:r>
      <w:r w:rsidRPr="00E0558D">
        <w:t>(D23). https://doi.org/10.1029/2009JD012166</w:t>
      </w:r>
    </w:p>
    <w:p w14:paraId="770C5DD8" w14:textId="77777777" w:rsidR="00E0558D" w:rsidRPr="00E0558D" w:rsidRDefault="00E0558D" w:rsidP="00E0558D">
      <w:pPr>
        <w:pStyle w:val="Bibliography"/>
      </w:pPr>
      <w:r w:rsidRPr="00E0558D">
        <w:t xml:space="preserve">Rozanski, K., Araguás-Araguás, L., &amp; Gonfiantini, R. (2019). Isotope Patterns of Precipitation in East Africa. In K. T. Whittaker, T. C. Johnson &amp; E. O. Odada (Eds.), </w:t>
      </w:r>
      <w:r w:rsidRPr="00E0558D">
        <w:rPr>
          <w:i/>
          <w:iCs/>
        </w:rPr>
        <w:t>The Limnology, Climatology and Paleoclimatology of the East African Lakes</w:t>
      </w:r>
      <w:r w:rsidRPr="00E0558D">
        <w:t xml:space="preserve"> (1st ed., pp. 79–93). Routledge. https://doi.org/10.1201/9780203748978</w:t>
      </w:r>
    </w:p>
    <w:p w14:paraId="30791D2F" w14:textId="77777777" w:rsidR="00E0558D" w:rsidRPr="00E0558D" w:rsidRDefault="00E0558D" w:rsidP="00E0558D">
      <w:pPr>
        <w:pStyle w:val="Bibliography"/>
      </w:pPr>
      <w:r w:rsidRPr="00E0558D">
        <w:t xml:space="preserve">Westerhold, T., Marwan, N., Drury, A. J., Liebrand, D., Agnini, C., Anagnostou, E., et al. (2020). An astronomically dated record of Earth’s climate and its predictability over the last 66 million years. </w:t>
      </w:r>
      <w:r w:rsidRPr="00E0558D">
        <w:rPr>
          <w:i/>
          <w:iCs/>
        </w:rPr>
        <w:t>Science</w:t>
      </w:r>
      <w:r w:rsidRPr="00E0558D">
        <w:t xml:space="preserve">, </w:t>
      </w:r>
      <w:r w:rsidRPr="00E0558D">
        <w:rPr>
          <w:i/>
          <w:iCs/>
        </w:rPr>
        <w:t>369</w:t>
      </w:r>
      <w:r w:rsidRPr="00E0558D">
        <w:t>(6509), 1383–1387. https://doi.org/10.1126/science.aba6853</w:t>
      </w:r>
    </w:p>
    <w:p w14:paraId="042B69D0" w14:textId="4108FA9F" w:rsidR="00BA3B22" w:rsidRDefault="00E0558D" w:rsidP="00E0558D">
      <w:pPr>
        <w:pStyle w:val="BodyText"/>
        <w:ind w:firstLine="0"/>
      </w:pPr>
      <w:r>
        <w:lastRenderedPageBreak/>
        <w:fldChar w:fldCharType="end"/>
      </w:r>
      <w:bookmarkStart w:id="8" w:name="references"/>
      <w:bookmarkEnd w:id="8"/>
    </w:p>
    <w:sectPr w:rsidR="00BA3B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1B1E5" w14:textId="77777777" w:rsidR="003304C0" w:rsidRDefault="003304C0">
      <w:pPr>
        <w:spacing w:after="0"/>
      </w:pPr>
      <w:r>
        <w:separator/>
      </w:r>
    </w:p>
  </w:endnote>
  <w:endnote w:type="continuationSeparator" w:id="0">
    <w:p w14:paraId="6C49DED9" w14:textId="77777777" w:rsidR="003304C0" w:rsidRDefault="003304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658F2" w14:textId="77777777" w:rsidR="003304C0" w:rsidRDefault="003304C0">
      <w:r>
        <w:separator/>
      </w:r>
    </w:p>
  </w:footnote>
  <w:footnote w:type="continuationSeparator" w:id="0">
    <w:p w14:paraId="3CE2528F" w14:textId="77777777" w:rsidR="003304C0" w:rsidRDefault="00330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EFC167"/>
    <w:multiLevelType w:val="multilevel"/>
    <w:tmpl w:val="43A0C9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8665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AC617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CE448CB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4C6C57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396E857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D966CDB2"/>
    <w:lvl w:ilvl="0">
      <w:start w:val="1"/>
      <w:numFmt w:val="bullet"/>
      <w:lvlText w:val=""/>
      <w:lvlJc w:val="left"/>
      <w:pPr>
        <w:tabs>
          <w:tab w:val="num" w:pos="1800"/>
        </w:tabs>
        <w:ind w:left="1800" w:hanging="360"/>
      </w:pPr>
      <w:rPr>
        <w:rFonts w:ascii="Symbol" w:hAnsi="Symbol" w:cs="Symbol" w:hint="default"/>
      </w:rPr>
    </w:lvl>
  </w:abstractNum>
  <w:abstractNum w:abstractNumId="7" w15:restartNumberingAfterBreak="0">
    <w:nsid w:val="FFFFFF81"/>
    <w:multiLevelType w:val="singleLevel"/>
    <w:tmpl w:val="D26043B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31E0A1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9FAA516"/>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91A6B5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57C3582"/>
    <w:lvl w:ilvl="0">
      <w:start w:val="1"/>
      <w:numFmt w:val="bullet"/>
      <w:pStyle w:val="ListBullet"/>
      <w:lvlText w:val=""/>
      <w:lvlJc w:val="left"/>
      <w:pPr>
        <w:tabs>
          <w:tab w:val="num" w:pos="360"/>
        </w:tabs>
        <w:ind w:left="360" w:hanging="360"/>
      </w:pPr>
      <w:rPr>
        <w:rFonts w:ascii="Wingdings 2" w:hAnsi="Wingdings 2" w:hint="default"/>
      </w:rPr>
    </w:lvl>
  </w:abstractNum>
  <w:abstractNum w:abstractNumId="12" w15:restartNumberingAfterBreak="0">
    <w:nsid w:val="350E28AE"/>
    <w:multiLevelType w:val="hybridMultilevel"/>
    <w:tmpl w:val="A4026BB6"/>
    <w:lvl w:ilvl="0" w:tplc="35AA4AF0">
      <w:start w:val="1"/>
      <w:numFmt w:val="bullet"/>
      <w:pStyle w:val="ListBulletAl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1"/>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5"/>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04C0"/>
    <w:rsid w:val="004052A9"/>
    <w:rsid w:val="004E29B3"/>
    <w:rsid w:val="005439FF"/>
    <w:rsid w:val="00590D07"/>
    <w:rsid w:val="006E67C4"/>
    <w:rsid w:val="00784D58"/>
    <w:rsid w:val="007B3794"/>
    <w:rsid w:val="00810FB6"/>
    <w:rsid w:val="00892467"/>
    <w:rsid w:val="008D6863"/>
    <w:rsid w:val="00B76D49"/>
    <w:rsid w:val="00B836E6"/>
    <w:rsid w:val="00B86B75"/>
    <w:rsid w:val="00BA3B22"/>
    <w:rsid w:val="00BC48D5"/>
    <w:rsid w:val="00C36279"/>
    <w:rsid w:val="00D32FFE"/>
    <w:rsid w:val="00DD77A8"/>
    <w:rsid w:val="00E0558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79272"/>
  <w15:docId w15:val="{AD582D6D-0700-9049-BE10-DD99CD70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semiHidden="1" w:unhideWhenUsed="1"/>
    <w:lsdException w:name="List 2" w:semiHidden="1" w:uiPriority="99" w:unhideWhenUsed="1" w:qFormat="1"/>
    <w:lsdException w:name="List 3" w:semiHidden="1" w:unhideWhenUsed="1"/>
    <w:lsdException w:name="List 4" w:semiHidden="1" w:unhideWhenUsed="1"/>
    <w:lsdException w:name="List Bullet 2" w:semiHidden="1" w:uiPriority="99"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uiPriority="99" w:qFormat="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0FB6"/>
    <w:rPr>
      <w:rFonts w:ascii="Georgia" w:hAnsi="Georgia"/>
    </w:rPr>
  </w:style>
  <w:style w:type="paragraph" w:styleId="Heading1">
    <w:name w:val="heading 1"/>
    <w:basedOn w:val="Normal"/>
    <w:next w:val="BodyText"/>
    <w:link w:val="Heading1Char"/>
    <w:uiPriority w:val="9"/>
    <w:qFormat/>
    <w:rsid w:val="00892467"/>
    <w:pPr>
      <w:keepNext/>
      <w:keepLines/>
      <w:spacing w:before="480" w:after="0"/>
      <w:outlineLvl w:val="0"/>
    </w:pPr>
    <w:rPr>
      <w:rFonts w:ascii="Helvetica Neue" w:eastAsiaTheme="majorEastAsia" w:hAnsi="Helvetica Neue" w:cstheme="majorBidi"/>
      <w:b/>
      <w:bCs/>
      <w:color w:val="000000" w:themeColor="text1"/>
      <w:sz w:val="28"/>
      <w:szCs w:val="32"/>
    </w:rPr>
  </w:style>
  <w:style w:type="paragraph" w:styleId="Heading2">
    <w:name w:val="heading 2"/>
    <w:basedOn w:val="Normal"/>
    <w:next w:val="BodyText"/>
    <w:link w:val="Heading2Char"/>
    <w:uiPriority w:val="9"/>
    <w:unhideWhenUsed/>
    <w:qFormat/>
    <w:rsid w:val="00892467"/>
    <w:pPr>
      <w:keepNext/>
      <w:keepLines/>
      <w:spacing w:before="200" w:after="0"/>
      <w:outlineLvl w:val="1"/>
    </w:pPr>
    <w:rPr>
      <w:rFonts w:ascii="Helvetica Neue" w:eastAsiaTheme="majorEastAsia" w:hAnsi="Helvetica Neue" w:cstheme="majorBidi"/>
      <w:b/>
      <w:bCs/>
      <w:color w:val="000000" w:themeColor="text1"/>
      <w:szCs w:val="32"/>
    </w:rPr>
  </w:style>
  <w:style w:type="paragraph" w:styleId="Heading3">
    <w:name w:val="heading 3"/>
    <w:basedOn w:val="Normal"/>
    <w:next w:val="BodyText"/>
    <w:link w:val="Heading3Char"/>
    <w:uiPriority w:val="9"/>
    <w:unhideWhenUsed/>
    <w:qFormat/>
    <w:rsid w:val="0089246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89246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rsid w:val="0089246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rsid w:val="00892467"/>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92467"/>
    <w:pPr>
      <w:spacing w:before="180" w:after="180" w:line="480" w:lineRule="auto"/>
      <w:ind w:firstLine="720"/>
      <w:contextualSpacing/>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892467"/>
    <w:pPr>
      <w:keepNext/>
      <w:keepLines/>
      <w:spacing w:before="480" w:after="240"/>
      <w:jc w:val="center"/>
    </w:pPr>
    <w:rPr>
      <w:rFonts w:ascii="Helvetica Neue" w:eastAsiaTheme="majorEastAsia" w:hAnsi="Helvetica Neue" w:cstheme="majorBidi"/>
      <w:b/>
      <w:bCs/>
      <w:color w:val="000000" w:themeColor="text1"/>
      <w:sz w:val="36"/>
      <w:szCs w:val="36"/>
    </w:rPr>
  </w:style>
  <w:style w:type="paragraph" w:styleId="Subtitle">
    <w:name w:val="Subtitle"/>
    <w:basedOn w:val="Title"/>
    <w:next w:val="BodyText"/>
    <w:link w:val="SubtitleChar"/>
    <w:qFormat/>
    <w:rsid w:val="00892467"/>
    <w:pPr>
      <w:spacing w:before="240"/>
    </w:pPr>
    <w:rPr>
      <w:sz w:val="30"/>
      <w:szCs w:val="30"/>
    </w:rPr>
  </w:style>
  <w:style w:type="paragraph" w:customStyle="1" w:styleId="Author">
    <w:name w:val="Author"/>
    <w:basedOn w:val="Title"/>
    <w:next w:val="Abstract"/>
    <w:qFormat/>
    <w:rsid w:val="006E67C4"/>
    <w:rPr>
      <w:sz w:val="24"/>
    </w:rPr>
  </w:style>
  <w:style w:type="paragraph" w:styleId="Date">
    <w:name w:val="Date"/>
    <w:next w:val="BodyText"/>
    <w:qFormat/>
    <w:pPr>
      <w:keepNext/>
      <w:keepLines/>
      <w:jc w:val="center"/>
    </w:pPr>
  </w:style>
  <w:style w:type="paragraph" w:customStyle="1" w:styleId="Abstract">
    <w:name w:val="Abstract"/>
    <w:basedOn w:val="Normal"/>
    <w:next w:val="BodyText"/>
    <w:qFormat/>
    <w:rsid w:val="00892467"/>
    <w:pPr>
      <w:keepNext/>
      <w:keepLines/>
      <w:spacing w:before="300" w:after="300"/>
    </w:pPr>
    <w:rPr>
      <w:sz w:val="22"/>
      <w:szCs w:val="20"/>
    </w:rPr>
  </w:style>
  <w:style w:type="paragraph" w:styleId="Bibliography">
    <w:name w:val="Bibliography"/>
    <w:basedOn w:val="Normal"/>
    <w:qFormat/>
    <w:rsid w:val="00E0558D"/>
    <w:pPr>
      <w:spacing w:before="120" w:after="120"/>
      <w:ind w:left="720" w:hanging="720"/>
    </w:pPr>
  </w:style>
  <w:style w:type="paragraph" w:styleId="BlockText">
    <w:name w:val="Block Text"/>
    <w:basedOn w:val="Normal"/>
    <w:autoRedefine/>
    <w:uiPriority w:val="99"/>
    <w:unhideWhenUsed/>
    <w:qFormat/>
    <w:rsid w:val="00892467"/>
    <w:pPr>
      <w:spacing w:line="276" w:lineRule="auto"/>
      <w:ind w:right="1151"/>
    </w:pPr>
    <w:rPr>
      <w:rFonts w:eastAsiaTheme="minorEastAsia"/>
      <w:b/>
      <w:iCs/>
      <w:sz w:val="22"/>
      <w:szCs w:val="22"/>
      <w:lang w:val="en"/>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92467"/>
    <w:pPr>
      <w:spacing w:after="360"/>
      <w:ind w:left="432" w:right="432"/>
    </w:pPr>
    <w:rPr>
      <w:i/>
      <w:sz w:val="21"/>
    </w:rPr>
  </w:style>
  <w:style w:type="paragraph" w:customStyle="1" w:styleId="TableCaption">
    <w:name w:val="Table Caption"/>
    <w:basedOn w:val="Caption"/>
    <w:rsid w:val="00892467"/>
    <w:pPr>
      <w:keepNext/>
    </w:pPr>
    <w:rPr>
      <w:iCs/>
    </w:rPr>
  </w:style>
  <w:style w:type="paragraph" w:customStyle="1" w:styleId="ImageCaption">
    <w:name w:val="Image Caption"/>
    <w:basedOn w:val="Caption"/>
    <w:rsid w:val="00892467"/>
    <w:pPr>
      <w:spacing w:after="240"/>
    </w:pPr>
    <w:rPr>
      <w:iCs/>
    </w:rPr>
  </w:style>
  <w:style w:type="paragraph" w:customStyle="1" w:styleId="Figure">
    <w:name w:val="Figure"/>
    <w:basedOn w:val="Normal"/>
    <w:rsid w:val="00892467"/>
  </w:style>
  <w:style w:type="paragraph" w:customStyle="1" w:styleId="FigurewithCaption">
    <w:name w:val="Figure with Caption"/>
    <w:basedOn w:val="Figure"/>
    <w:rsid w:val="00892467"/>
    <w:pPr>
      <w:keepNext/>
    </w:pPr>
  </w:style>
  <w:style w:type="character" w:customStyle="1" w:styleId="CaptionChar">
    <w:name w:val="Caption Char"/>
    <w:basedOn w:val="DefaultParagraphFont"/>
    <w:link w:val="Caption"/>
    <w:rsid w:val="00892467"/>
    <w:rPr>
      <w:rFonts w:ascii="Georgia" w:hAnsi="Georgia"/>
      <w:i/>
      <w:sz w:val="21"/>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Georgia" w:hAnsi="Georgia"/>
      <w:i/>
      <w:sz w:val="21"/>
      <w:vertAlign w:val="superscript"/>
    </w:rPr>
  </w:style>
  <w:style w:type="character" w:styleId="Hyperlink">
    <w:name w:val="Hyperlink"/>
    <w:basedOn w:val="CaptionChar"/>
    <w:rPr>
      <w:rFonts w:ascii="Georgia" w:hAnsi="Georgia"/>
      <w:i/>
      <w:color w:val="4F81BD" w:themeColor="accent1"/>
      <w:sz w:val="2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onstantTok">
    <w:name w:val="ConstantTok"/>
    <w:basedOn w:val="VerbatimChar"/>
    <w:rPr>
      <w:rFonts w:ascii="Consolas" w:hAnsi="Consolas"/>
      <w:i/>
      <w:color w:val="880000"/>
      <w:sz w:val="22"/>
    </w:rPr>
  </w:style>
  <w:style w:type="character" w:customStyle="1" w:styleId="CharTok">
    <w:name w:val="CharTok"/>
    <w:basedOn w:val="VerbatimChar"/>
    <w:rPr>
      <w:rFonts w:ascii="Consolas" w:hAnsi="Consolas"/>
      <w:i/>
      <w:color w:val="4070A0"/>
      <w:sz w:val="22"/>
    </w:rPr>
  </w:style>
  <w:style w:type="character" w:customStyle="1" w:styleId="SpecialCharTok">
    <w:name w:val="Speci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VerbatimStringTok">
    <w:name w:val="VerbatimStringTok"/>
    <w:basedOn w:val="VerbatimChar"/>
    <w:rPr>
      <w:rFonts w:ascii="Consolas" w:hAnsi="Consolas"/>
      <w:i/>
      <w:color w:val="4070A0"/>
      <w:sz w:val="22"/>
    </w:rPr>
  </w:style>
  <w:style w:type="character" w:customStyle="1" w:styleId="SpecialStringTok">
    <w:name w:val="SpecialStringTok"/>
    <w:basedOn w:val="VerbatimChar"/>
    <w:rPr>
      <w:rFonts w:ascii="Consolas" w:hAnsi="Consolas"/>
      <w:i/>
      <w:color w:val="BB6688"/>
      <w:sz w:val="22"/>
    </w:rPr>
  </w:style>
  <w:style w:type="character" w:customStyle="1" w:styleId="ImportTok">
    <w:name w:val="ImportTok"/>
    <w:basedOn w:val="VerbatimChar"/>
    <w:rPr>
      <w:rFonts w:ascii="Consolas" w:hAnsi="Consolas"/>
      <w:i/>
      <w:sz w:val="22"/>
    </w:rPr>
  </w:style>
  <w:style w:type="character" w:customStyle="1" w:styleId="CommentTok">
    <w:name w:val="CommentTok"/>
    <w:basedOn w:val="VerbatimChar"/>
    <w:rPr>
      <w:rFonts w:ascii="Consolas" w:hAnsi="Consolas"/>
      <w:i w:val="0"/>
      <w:color w:val="60A0B0"/>
      <w:sz w:val="22"/>
    </w:rPr>
  </w:style>
  <w:style w:type="character" w:customStyle="1" w:styleId="DocumentationTok">
    <w:name w:val="DocumentationTok"/>
    <w:basedOn w:val="VerbatimChar"/>
    <w:rPr>
      <w:rFonts w:ascii="Consolas" w:hAnsi="Consolas"/>
      <w:i w:val="0"/>
      <w:color w:val="BA2121"/>
      <w:sz w:val="22"/>
    </w:rPr>
  </w:style>
  <w:style w:type="character" w:customStyle="1" w:styleId="AnnotationTok">
    <w:name w:val="AnnotationTok"/>
    <w:basedOn w:val="VerbatimChar"/>
    <w:rPr>
      <w:rFonts w:ascii="Consolas" w:hAnsi="Consolas"/>
      <w:b/>
      <w:i w:val="0"/>
      <w:color w:val="60A0B0"/>
      <w:sz w:val="22"/>
    </w:rPr>
  </w:style>
  <w:style w:type="character" w:customStyle="1" w:styleId="CommentVarTok">
    <w:name w:val="CommentVarTok"/>
    <w:basedOn w:val="VerbatimChar"/>
    <w:rPr>
      <w:rFonts w:ascii="Consolas" w:hAnsi="Consolas"/>
      <w:b/>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FunctionTok">
    <w:name w:val="FunctionTok"/>
    <w:basedOn w:val="VerbatimChar"/>
    <w:rPr>
      <w:rFonts w:ascii="Consolas" w:hAnsi="Consolas"/>
      <w:i/>
      <w:color w:val="06287E"/>
      <w:sz w:val="22"/>
    </w:rPr>
  </w:style>
  <w:style w:type="character" w:customStyle="1" w:styleId="VariableTok">
    <w:name w:val="VariableTok"/>
    <w:basedOn w:val="VerbatimChar"/>
    <w:rPr>
      <w:rFonts w:ascii="Consolas" w:hAnsi="Consolas"/>
      <w:i/>
      <w:color w:val="19177C"/>
      <w:sz w:val="22"/>
    </w:rPr>
  </w:style>
  <w:style w:type="character" w:customStyle="1" w:styleId="ControlFlowTok">
    <w:name w:val="ControlFlowTok"/>
    <w:basedOn w:val="VerbatimChar"/>
    <w:rPr>
      <w:rFonts w:ascii="Consolas" w:hAnsi="Consolas"/>
      <w:b/>
      <w:i/>
      <w:color w:val="007020"/>
      <w:sz w:val="22"/>
    </w:rPr>
  </w:style>
  <w:style w:type="character" w:customStyle="1" w:styleId="OperatorTok">
    <w:name w:val="OperatorTok"/>
    <w:basedOn w:val="VerbatimChar"/>
    <w:rPr>
      <w:rFonts w:ascii="Consolas" w:hAnsi="Consolas"/>
      <w:i/>
      <w:color w:val="666666"/>
      <w:sz w:val="22"/>
    </w:rPr>
  </w:style>
  <w:style w:type="character" w:customStyle="1" w:styleId="BuiltInTok">
    <w:name w:val="BuiltInTok"/>
    <w:basedOn w:val="VerbatimChar"/>
    <w:rPr>
      <w:rFonts w:ascii="Consolas" w:hAnsi="Consolas"/>
      <w:i/>
      <w:sz w:val="22"/>
    </w:rPr>
  </w:style>
  <w:style w:type="character" w:customStyle="1" w:styleId="ExtensionTok">
    <w:name w:val="ExtensionTok"/>
    <w:basedOn w:val="VerbatimChar"/>
    <w:rPr>
      <w:rFonts w:ascii="Consolas" w:hAnsi="Consolas"/>
      <w:i/>
      <w:sz w:val="22"/>
    </w:rPr>
  </w:style>
  <w:style w:type="character" w:customStyle="1" w:styleId="PreprocessorTok">
    <w:name w:val="PreprocessorTok"/>
    <w:basedOn w:val="VerbatimChar"/>
    <w:rPr>
      <w:rFonts w:ascii="Consolas" w:hAnsi="Consolas"/>
      <w:i/>
      <w:color w:val="BC7A00"/>
      <w:sz w:val="22"/>
    </w:rPr>
  </w:style>
  <w:style w:type="character" w:customStyle="1" w:styleId="AttributeTok">
    <w:name w:val="AttributeTok"/>
    <w:basedOn w:val="VerbatimChar"/>
    <w:rPr>
      <w:rFonts w:ascii="Consolas" w:hAnsi="Consolas"/>
      <w:i/>
      <w:color w:val="7D9029"/>
      <w:sz w:val="22"/>
    </w:rPr>
  </w:style>
  <w:style w:type="character" w:customStyle="1" w:styleId="RegionMarkerTok">
    <w:name w:val="RegionMarkerTok"/>
    <w:basedOn w:val="VerbatimChar"/>
    <w:rPr>
      <w:rFonts w:ascii="Consolas" w:hAnsi="Consolas"/>
      <w:i/>
      <w:sz w:val="22"/>
    </w:rPr>
  </w:style>
  <w:style w:type="character" w:customStyle="1" w:styleId="InformationTok">
    <w:name w:val="InformationTok"/>
    <w:basedOn w:val="VerbatimChar"/>
    <w:rPr>
      <w:rFonts w:ascii="Consolas" w:hAnsi="Consolas"/>
      <w:b/>
      <w:i w:val="0"/>
      <w:color w:val="60A0B0"/>
      <w:sz w:val="22"/>
    </w:rPr>
  </w:style>
  <w:style w:type="character" w:customStyle="1" w:styleId="WarningTok">
    <w:name w:val="WarningTok"/>
    <w:basedOn w:val="VerbatimChar"/>
    <w:rPr>
      <w:rFonts w:ascii="Consolas" w:hAnsi="Consolas"/>
      <w:b/>
      <w:i w:val="0"/>
      <w:color w:val="60A0B0"/>
      <w:sz w:val="22"/>
    </w:rPr>
  </w:style>
  <w:style w:type="character" w:customStyle="1" w:styleId="AlertTok">
    <w:name w:val="AlertTok"/>
    <w:basedOn w:val="VerbatimChar"/>
    <w:rPr>
      <w:rFonts w:ascii="Consolas" w:hAnsi="Consolas"/>
      <w:b/>
      <w:i/>
      <w:color w:val="FF0000"/>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styleId="BodyText2">
    <w:name w:val="Body Text 2"/>
    <w:basedOn w:val="Normal"/>
    <w:link w:val="BodyText2Char"/>
    <w:autoRedefine/>
    <w:uiPriority w:val="99"/>
    <w:unhideWhenUsed/>
    <w:qFormat/>
    <w:rsid w:val="00892467"/>
    <w:pPr>
      <w:tabs>
        <w:tab w:val="left" w:pos="4820"/>
      </w:tabs>
      <w:spacing w:before="120" w:after="360" w:line="480" w:lineRule="auto"/>
    </w:pPr>
    <w:rPr>
      <w:b/>
    </w:rPr>
  </w:style>
  <w:style w:type="character" w:customStyle="1" w:styleId="BodyTextChar">
    <w:name w:val="Body Text Char"/>
    <w:basedOn w:val="DefaultParagraphFont"/>
    <w:link w:val="BodyText"/>
    <w:rsid w:val="00892467"/>
    <w:rPr>
      <w:rFonts w:ascii="Georgia" w:hAnsi="Georgia"/>
    </w:rPr>
  </w:style>
  <w:style w:type="character" w:customStyle="1" w:styleId="BodyText2Char">
    <w:name w:val="Body Text 2 Char"/>
    <w:basedOn w:val="DefaultParagraphFont"/>
    <w:link w:val="BodyText2"/>
    <w:uiPriority w:val="99"/>
    <w:rsid w:val="00892467"/>
    <w:rPr>
      <w:b/>
    </w:rPr>
  </w:style>
  <w:style w:type="paragraph" w:customStyle="1" w:styleId="BodyText4">
    <w:name w:val="Body Text 4"/>
    <w:basedOn w:val="Normal"/>
    <w:autoRedefine/>
    <w:qFormat/>
    <w:rsid w:val="00892467"/>
    <w:pPr>
      <w:spacing w:after="1800" w:line="271" w:lineRule="auto"/>
    </w:pPr>
    <w:rPr>
      <w:rFonts w:eastAsia="Arial" w:cs="Arial"/>
      <w:b/>
      <w:sz w:val="22"/>
      <w:szCs w:val="22"/>
      <w:lang w:val="en"/>
    </w:rPr>
  </w:style>
  <w:style w:type="paragraph" w:styleId="Header">
    <w:name w:val="header"/>
    <w:basedOn w:val="Normal"/>
    <w:link w:val="HeaderChar"/>
    <w:unhideWhenUsed/>
    <w:rsid w:val="00892467"/>
    <w:pPr>
      <w:tabs>
        <w:tab w:val="center" w:pos="4680"/>
        <w:tab w:val="right" w:pos="9360"/>
      </w:tabs>
      <w:spacing w:after="0"/>
    </w:pPr>
  </w:style>
  <w:style w:type="character" w:customStyle="1" w:styleId="HeaderChar">
    <w:name w:val="Header Char"/>
    <w:basedOn w:val="DefaultParagraphFont"/>
    <w:link w:val="Header"/>
    <w:rsid w:val="00892467"/>
  </w:style>
  <w:style w:type="character" w:customStyle="1" w:styleId="Heading1Char">
    <w:name w:val="Heading 1 Char"/>
    <w:basedOn w:val="DefaultParagraphFont"/>
    <w:link w:val="Heading1"/>
    <w:uiPriority w:val="9"/>
    <w:rsid w:val="00892467"/>
    <w:rPr>
      <w:rFonts w:ascii="Helvetica Neue" w:eastAsiaTheme="majorEastAsia" w:hAnsi="Helvetica Neue" w:cstheme="majorBidi"/>
      <w:b/>
      <w:bCs/>
      <w:color w:val="000000" w:themeColor="text1"/>
      <w:sz w:val="28"/>
      <w:szCs w:val="32"/>
    </w:rPr>
  </w:style>
  <w:style w:type="character" w:customStyle="1" w:styleId="Heading2Char">
    <w:name w:val="Heading 2 Char"/>
    <w:basedOn w:val="DefaultParagraphFont"/>
    <w:link w:val="Heading2"/>
    <w:uiPriority w:val="9"/>
    <w:rsid w:val="00892467"/>
    <w:rPr>
      <w:rFonts w:ascii="Helvetica Neue" w:eastAsiaTheme="majorEastAsia" w:hAnsi="Helvetica Neue" w:cstheme="majorBidi"/>
      <w:b/>
      <w:bCs/>
      <w:color w:val="000000" w:themeColor="text1"/>
      <w:szCs w:val="32"/>
    </w:rPr>
  </w:style>
  <w:style w:type="character" w:customStyle="1" w:styleId="Heading3Char">
    <w:name w:val="Heading 3 Char"/>
    <w:basedOn w:val="DefaultParagraphFont"/>
    <w:link w:val="Heading3"/>
    <w:uiPriority w:val="9"/>
    <w:rsid w:val="00892467"/>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89246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892467"/>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892467"/>
    <w:rPr>
      <w:rFonts w:asciiTheme="majorHAnsi" w:eastAsiaTheme="majorEastAsia" w:hAnsiTheme="majorHAnsi" w:cstheme="majorBidi"/>
      <w:color w:val="4F81BD" w:themeColor="accent1"/>
    </w:rPr>
  </w:style>
  <w:style w:type="paragraph" w:styleId="List2">
    <w:name w:val="List 2"/>
    <w:basedOn w:val="Normal"/>
    <w:autoRedefine/>
    <w:uiPriority w:val="99"/>
    <w:unhideWhenUsed/>
    <w:qFormat/>
    <w:rsid w:val="00892467"/>
    <w:pPr>
      <w:spacing w:line="276" w:lineRule="auto"/>
      <w:ind w:left="720" w:hanging="360"/>
      <w:contextualSpacing/>
    </w:pPr>
    <w:rPr>
      <w:rFonts w:eastAsia="Arial" w:cs="Arial"/>
      <w:i/>
      <w:sz w:val="22"/>
      <w:szCs w:val="22"/>
      <w:lang w:val="en"/>
    </w:rPr>
  </w:style>
  <w:style w:type="paragraph" w:styleId="ListBullet">
    <w:name w:val="List Bullet"/>
    <w:basedOn w:val="Normal"/>
    <w:autoRedefine/>
    <w:uiPriority w:val="99"/>
    <w:unhideWhenUsed/>
    <w:qFormat/>
    <w:rsid w:val="00892467"/>
    <w:pPr>
      <w:numPr>
        <w:numId w:val="13"/>
      </w:numPr>
      <w:spacing w:line="276" w:lineRule="auto"/>
      <w:contextualSpacing/>
    </w:pPr>
    <w:rPr>
      <w:rFonts w:eastAsia="Arial" w:cs="Arial"/>
      <w:sz w:val="22"/>
      <w:szCs w:val="22"/>
      <w:lang w:val="en"/>
    </w:rPr>
  </w:style>
  <w:style w:type="paragraph" w:styleId="ListBullet2">
    <w:name w:val="List Bullet 2"/>
    <w:basedOn w:val="Normal"/>
    <w:uiPriority w:val="99"/>
    <w:semiHidden/>
    <w:unhideWhenUsed/>
    <w:rsid w:val="00892467"/>
    <w:pPr>
      <w:numPr>
        <w:numId w:val="14"/>
      </w:numPr>
      <w:contextualSpacing/>
    </w:pPr>
  </w:style>
  <w:style w:type="paragraph" w:customStyle="1" w:styleId="ListBulletAlt">
    <w:name w:val="List Bullet Alt"/>
    <w:basedOn w:val="ListBullet2"/>
    <w:autoRedefine/>
    <w:qFormat/>
    <w:rsid w:val="00892467"/>
    <w:pPr>
      <w:numPr>
        <w:numId w:val="15"/>
      </w:numPr>
      <w:spacing w:line="276" w:lineRule="auto"/>
    </w:pPr>
    <w:rPr>
      <w:rFonts w:eastAsia="Arial" w:cs="Arial"/>
      <w:sz w:val="22"/>
      <w:szCs w:val="22"/>
      <w:lang w:val="en"/>
    </w:rPr>
  </w:style>
  <w:style w:type="paragraph" w:styleId="NoSpacing">
    <w:name w:val="No Spacing"/>
    <w:link w:val="NoSpacingChar"/>
    <w:uiPriority w:val="1"/>
    <w:qFormat/>
    <w:rsid w:val="00892467"/>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892467"/>
    <w:rPr>
      <w:rFonts w:eastAsiaTheme="minorEastAsia"/>
      <w:sz w:val="22"/>
      <w:szCs w:val="22"/>
      <w:lang w:eastAsia="zh-CN"/>
    </w:rPr>
  </w:style>
  <w:style w:type="character" w:customStyle="1" w:styleId="TitleChar">
    <w:name w:val="Title Char"/>
    <w:basedOn w:val="DefaultParagraphFont"/>
    <w:link w:val="Title"/>
    <w:rsid w:val="00892467"/>
    <w:rPr>
      <w:rFonts w:ascii="Helvetica Neue" w:eastAsiaTheme="majorEastAsia" w:hAnsi="Helvetica Neue" w:cstheme="majorBidi"/>
      <w:b/>
      <w:bCs/>
      <w:color w:val="000000" w:themeColor="text1"/>
      <w:sz w:val="36"/>
      <w:szCs w:val="36"/>
    </w:rPr>
  </w:style>
  <w:style w:type="character" w:customStyle="1" w:styleId="SubtitleChar">
    <w:name w:val="Subtitle Char"/>
    <w:basedOn w:val="DefaultParagraphFont"/>
    <w:link w:val="Subtitle"/>
    <w:rsid w:val="00892467"/>
    <w:rPr>
      <w:rFonts w:ascii="Helvetica Neue" w:eastAsiaTheme="majorEastAsia" w:hAnsi="Helvetica Neue" w:cstheme="majorBidi"/>
      <w:b/>
      <w:bCs/>
      <w:color w:val="000000" w:themeColor="text1"/>
      <w:sz w:val="30"/>
      <w:szCs w:val="30"/>
    </w:rPr>
  </w:style>
  <w:style w:type="table" w:customStyle="1" w:styleId="Table1">
    <w:name w:val="Table 1"/>
    <w:basedOn w:val="TableNormal"/>
    <w:uiPriority w:val="99"/>
    <w:rsid w:val="00892467"/>
    <w:pPr>
      <w:spacing w:after="0"/>
    </w:pPr>
    <w:rPr>
      <w:rFonts w:ascii="Helvetica" w:eastAsia="Arial" w:hAnsi="Helvetica" w:cs="Arial"/>
      <w:sz w:val="20"/>
      <w:szCs w:val="22"/>
      <w:lang w:val="en"/>
    </w:rPr>
    <w:tblPr/>
    <w:tcPr>
      <w:vAlign w:val="bottom"/>
    </w:tcPr>
    <w:tblStylePr w:type="firstRow">
      <w:rPr>
        <w:rFonts w:ascii="Helvetica" w:hAnsi="Helvetica"/>
        <w:b/>
        <w:sz w:val="20"/>
      </w:rPr>
      <w:tblPr/>
      <w:trPr>
        <w:tblHeader/>
      </w:trPr>
      <w:tcPr>
        <w:tcBorders>
          <w:bottom w:val="single" w:sz="4" w:space="0" w:color="000000"/>
        </w:tcBorders>
        <w:vAlign w:val="top"/>
      </w:tcPr>
    </w:tblStylePr>
    <w:tblStylePr w:type="lastRow">
      <w:tblPr/>
      <w:tcPr>
        <w:tcBorders>
          <w:top w:val="nil"/>
          <w:left w:val="nil"/>
          <w:bottom w:val="nil"/>
          <w:right w:val="nil"/>
          <w:insideH w:val="nil"/>
          <w:insideV w:val="nil"/>
          <w:tl2br w:val="nil"/>
          <w:tr2bl w:val="nil"/>
        </w:tcBorders>
      </w:tcPr>
    </w:tblStylePr>
  </w:style>
  <w:style w:type="table" w:customStyle="1" w:styleId="Table2">
    <w:name w:val="Table 2"/>
    <w:basedOn w:val="Table1"/>
    <w:uiPriority w:val="99"/>
    <w:rsid w:val="00892467"/>
    <w:tblPr/>
    <w:tblStylePr w:type="firstRow">
      <w:rPr>
        <w:rFonts w:ascii="Helvetica" w:hAnsi="Helvetica"/>
        <w:b/>
        <w:sz w:val="20"/>
      </w:rPr>
      <w:tblPr/>
      <w:trPr>
        <w:tblHeader/>
      </w:trPr>
      <w:tcPr>
        <w:tcBorders>
          <w:bottom w:val="single" w:sz="4" w:space="0" w:color="000000"/>
        </w:tcBorders>
        <w:vAlign w:val="top"/>
      </w:tcPr>
    </w:tblStylePr>
    <w:tblStylePr w:type="lastRow">
      <w:tblPr/>
      <w:tcPr>
        <w:tcBorders>
          <w:top w:val="nil"/>
          <w:left w:val="nil"/>
          <w:bottom w:val="single" w:sz="4" w:space="0" w:color="auto"/>
          <w:right w:val="nil"/>
          <w:insideH w:val="nil"/>
          <w:insideV w:val="nil"/>
          <w:tl2br w:val="nil"/>
          <w:tr2bl w:val="nil"/>
        </w:tcBorders>
      </w:tcPr>
    </w:tblStylePr>
  </w:style>
  <w:style w:type="paragraph" w:customStyle="1" w:styleId="TableHeader">
    <w:name w:val="Table Header"/>
    <w:basedOn w:val="Normal"/>
    <w:autoRedefine/>
    <w:qFormat/>
    <w:rsid w:val="00892467"/>
    <w:pPr>
      <w:widowControl w:val="0"/>
      <w:pBdr>
        <w:top w:val="nil"/>
        <w:left w:val="nil"/>
        <w:bottom w:val="nil"/>
        <w:right w:val="nil"/>
        <w:between w:val="nil"/>
      </w:pBdr>
    </w:pPr>
    <w:rPr>
      <w:rFonts w:eastAsia="Arial" w:cs="Arial"/>
      <w:b/>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5863</Words>
  <Characters>33424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Water isotope mass balance for Lake Turkana, Kenya</vt:lpstr>
    </vt:vector>
  </TitlesOfParts>
  <Company/>
  <LinksUpToDate>false</LinksUpToDate>
  <CharactersWithSpaces>39209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isotope mass balance for Lake Turkana, Kenya</dc:title>
  <dc:creator>Gregory Arthur Henkes; Mae Saslaw</dc:creator>
  <cp:lastModifiedBy>mae saslaw</cp:lastModifiedBy>
  <cp:revision>7</cp:revision>
  <dcterms:created xsi:type="dcterms:W3CDTF">2021-08-02T16:58:00Z</dcterms:created>
  <dcterms:modified xsi:type="dcterms:W3CDTF">2021-09-21T17:01:00Z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zotero-version="5.0.97-beta.35+a5902fc46"&gt;&lt;session id="QKDjPihU"/&gt;&lt;style id="http://www.zotero.org/styles/american-geophysical-union"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ies>
</file>