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A"/>
      </w:pPr>
    </w:p>
    <w:p>
      <w:pPr>
        <w:pStyle w:val="Text A"/>
      </w:pPr>
      <w:r>
        <w:rPr>
          <w:rtl w:val="0"/>
          <w:lang w:val="de-DE"/>
        </w:rPr>
        <w:t xml:space="preserve">Leuphana University </w:t>
      </w:r>
    </w:p>
    <w:p>
      <w:pPr>
        <w:pStyle w:val="Text A"/>
      </w:pPr>
      <w:r>
        <w:rPr>
          <w:rtl w:val="0"/>
          <w:lang w:val="de-DE"/>
        </w:rPr>
        <w:t>Major Digital Media, Module Net Criticism:</w:t>
      </w:r>
    </w:p>
    <w:p>
      <w:pPr>
        <w:pStyle w:val="Text A"/>
      </w:pPr>
      <w:r>
        <w:rPr>
          <w:rtl w:val="0"/>
          <w:lang w:val="en-US"/>
        </w:rPr>
        <w:t>Critical AI Studies</w:t>
      </w:r>
      <w:r>
        <w:br w:type="textWrapping"/>
      </w:r>
      <w:r>
        <w:rPr>
          <w:rtl w:val="0"/>
          <w:lang w:val="de-DE"/>
        </w:rPr>
        <w:t>Prof. Stephan Scheel</w:t>
      </w:r>
    </w:p>
    <w:p>
      <w:pPr>
        <w:pStyle w:val="Text A"/>
      </w:pPr>
      <w:r>
        <w:rPr>
          <w:rtl w:val="0"/>
          <w:lang w:val="de-DE"/>
        </w:rPr>
        <w:t>Summer Semester 2026</w:t>
      </w: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itel"/>
        <w:jc w:val="center"/>
        <w:rPr>
          <w:rFonts w:ascii="Times New Roman" w:cs="Times New Roman" w:hAnsi="Times New Roman" w:eastAsia="Times New Roman"/>
          <w:sz w:val="42"/>
          <w:szCs w:val="42"/>
        </w:rPr>
      </w:pPr>
      <w:r>
        <w:rPr>
          <w:rFonts w:ascii="Times New Roman" w:hAnsi="Times New Roman"/>
          <w:sz w:val="42"/>
          <w:szCs w:val="42"/>
          <w:rtl w:val="0"/>
          <w:lang w:val="en-US"/>
        </w:rPr>
        <w:t>The Geometry of Exclusion:</w:t>
      </w:r>
    </w:p>
    <w:p>
      <w:pPr>
        <w:pStyle w:val="Titel"/>
        <w:jc w:val="center"/>
        <w:rPr>
          <w:rFonts w:ascii="Times New Roman" w:cs="Times New Roman" w:hAnsi="Times New Roman" w:eastAsia="Times New Roman"/>
          <w:sz w:val="42"/>
          <w:szCs w:val="42"/>
        </w:rPr>
      </w:pPr>
      <w:r>
        <w:rPr>
          <w:rFonts w:ascii="Times New Roman" w:hAnsi="Times New Roman"/>
          <w:sz w:val="42"/>
          <w:szCs w:val="42"/>
          <w:rtl w:val="0"/>
          <w:lang w:val="en-US"/>
        </w:rPr>
        <w:t xml:space="preserve"> Latent Space and Epistemic Invisibility in Medical AI</w:t>
      </w:r>
    </w:p>
    <w:p>
      <w:pPr>
        <w:pStyle w:val="Text A A"/>
        <w:spacing w:line="360" w:lineRule="auto"/>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right"/>
        <w:rPr>
          <w:rFonts w:ascii="Times New Roman" w:cs="Times New Roman" w:hAnsi="Times New Roman" w:eastAsia="Times New Roman"/>
          <w:sz w:val="22"/>
          <w:szCs w:val="22"/>
          <w:lang w:val="de-DE"/>
        </w:rPr>
      </w:pPr>
      <w:r>
        <w:rPr>
          <w:rFonts w:ascii="Times New Roman" w:hAnsi="Times New Roman"/>
          <w:sz w:val="22"/>
          <w:szCs w:val="22"/>
          <w:rtl w:val="0"/>
          <w:lang w:val="de-DE"/>
        </w:rPr>
        <w:t xml:space="preserve">                                     </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right"/>
        <w:rPr>
          <w:rFonts w:ascii="Times New Roman" w:cs="Times New Roman" w:hAnsi="Times New Roman" w:eastAsia="Times New Roman"/>
          <w:sz w:val="22"/>
          <w:szCs w:val="22"/>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right"/>
        <w:rPr>
          <w:rFonts w:ascii="Times New Roman" w:cs="Times New Roman" w:hAnsi="Times New Roman" w:eastAsia="Times New Roman"/>
          <w:sz w:val="22"/>
          <w:szCs w:val="22"/>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de-DE"/>
        </w:rPr>
        <w:t xml:space="preserve">Sarah Sophie Kruschinski                                                                      Matrikelnr. </w:t>
      </w:r>
      <w:r>
        <w:rPr>
          <w:rFonts w:ascii="Times New Roman" w:hAnsi="Times New Roman"/>
          <w:rtl w:val="0"/>
          <w:lang w:val="en-US"/>
        </w:rPr>
        <w:t>4004023</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Eggerstedtstra</w:t>
      </w:r>
      <w:r>
        <w:rPr>
          <w:rFonts w:ascii="Times New Roman" w:hAnsi="Times New Roman" w:hint="default"/>
          <w:rtl w:val="0"/>
          <w:lang w:val="en-US"/>
        </w:rPr>
        <w:t>ß</w:t>
      </w:r>
      <w:r>
        <w:rPr>
          <w:rFonts w:ascii="Times New Roman" w:hAnsi="Times New Roman"/>
          <w:rtl w:val="0"/>
          <w:lang w:val="en-US"/>
        </w:rPr>
        <w:t>e 78</w:t>
      </w:r>
      <w:r>
        <w:rPr>
          <w:rFonts w:ascii="Times New Roman" w:hAnsi="Times New Roman"/>
          <w:rtl w:val="0"/>
          <w:lang w:val="de-DE"/>
        </w:rPr>
        <w:t xml:space="preserve">                                                                                Digital Media,             </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22765 Hamburg</w:t>
      </w:r>
      <w:r>
        <w:rPr>
          <w:rFonts w:ascii="Times New Roman" w:hAnsi="Times New Roman"/>
          <w:rtl w:val="0"/>
          <w:lang w:val="de-DE"/>
        </w:rPr>
        <w:t xml:space="preserve">                                                                                      Wirtschaftsinformatik</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de-DE"/>
        </w:rPr>
        <w:t>s</w:t>
      </w:r>
      <w:r>
        <w:rPr>
          <w:rFonts w:ascii="Times New Roman" w:hAnsi="Times New Roman"/>
          <w:rtl w:val="0"/>
          <w:lang w:val="en-US"/>
        </w:rPr>
        <w:t>arah.S.Kruschinski@stud.leuphana.de</w:t>
      </w:r>
      <w:r>
        <w:rPr>
          <w:rFonts w:ascii="Times New Roman" w:hAnsi="Times New Roman"/>
          <w:rtl w:val="0"/>
          <w:lang w:val="de-DE"/>
        </w:rPr>
        <w:t xml:space="preserve">                                                  </w:t>
      </w:r>
      <w:r>
        <w:rPr>
          <w:rFonts w:ascii="Times New Roman" w:hAnsi="Times New Roman"/>
          <w:rtl w:val="0"/>
          <w:lang w:val="en-US"/>
        </w:rPr>
        <w:t>Minor BWL</w:t>
      </w:r>
    </w:p>
    <w:p>
      <w:pPr>
        <w:pStyle w:val="Text A A"/>
      </w:pPr>
    </w:p>
    <w:p>
      <w:pPr>
        <w:pStyle w:val="Text A A"/>
      </w:pPr>
    </w:p>
    <w:p>
      <w:pPr>
        <w:pStyle w:val="Text A A"/>
      </w:pPr>
    </w:p>
    <w:p>
      <w:pPr>
        <w:pStyle w:val="Text A A"/>
        <w:rPr>
          <w:rFonts w:ascii="Times New Roman" w:cs="Times New Roman" w:hAnsi="Times New Roman" w:eastAsia="Times New Roman"/>
          <w:b w:val="1"/>
          <w:bCs w:val="1"/>
          <w:sz w:val="28"/>
          <w:szCs w:val="28"/>
          <w:u w:val="single"/>
        </w:rPr>
      </w:pPr>
      <w:r>
        <w:rPr>
          <w:rFonts w:ascii="Times New Roman" w:hAnsi="Times New Roman"/>
          <w:b w:val="1"/>
          <w:bCs w:val="1"/>
          <w:sz w:val="28"/>
          <w:szCs w:val="28"/>
          <w:u w:val="single"/>
          <w:rtl w:val="0"/>
          <w:lang w:val="de-DE"/>
        </w:rPr>
        <w:t>Table of contents</w:t>
      </w:r>
    </w:p>
    <w:p>
      <w:pPr>
        <w:pStyle w:val="Text A A"/>
        <w:rPr>
          <w:rFonts w:ascii="Times New Roman" w:cs="Times New Roman" w:hAnsi="Times New Roman" w:eastAsia="Times New Roman"/>
          <w:b w:val="1"/>
          <w:bCs w:val="1"/>
          <w:sz w:val="28"/>
          <w:szCs w:val="28"/>
        </w:rPr>
      </w:pPr>
    </w:p>
    <w:p>
      <w:pPr>
        <w:pStyle w:val="Text A A"/>
      </w:pPr>
    </w:p>
    <w:p>
      <w:pPr>
        <w:pStyle w:val="Text A A"/>
      </w:pPr>
      <w:r>
        <w:rPr/>
        <w:fldChar w:fldCharType="begin" w:fldLock="0"/>
      </w:r>
      <w:r>
        <w:instrText xml:space="preserve"> TOC \t "Überschrift, 1"</w:instrText>
      </w:r>
      <w:r>
        <w:rPr/>
        <w:fldChar w:fldCharType="separate" w:fldLock="0"/>
      </w:r>
    </w:p>
    <w:p>
      <w:pPr>
        <w:pStyle w:val="TOC 1"/>
      </w:pPr>
      <w:r>
        <w:rPr>
          <w:rFonts w:cs="Arial Unicode MS" w:eastAsia="Arial Unicode MS"/>
          <w:rtl w:val="0"/>
          <w:lang w:val="fr-FR"/>
        </w:rPr>
        <w:t>Introduction</w:t>
        <w:tab/>
      </w:r>
      <w:r>
        <w:rPr/>
        <w:fldChar w:fldCharType="begin" w:fldLock="0"/>
      </w:r>
      <w:r>
        <w:instrText xml:space="preserve"> PAGEREF _Toc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lang w:val="en-US"/>
        </w:rPr>
        <w:t>Structural Absence and the Geometry of Exclusion</w:t>
        <w:tab/>
      </w:r>
      <w:r>
        <w:rPr/>
        <w:fldChar w:fldCharType="begin" w:fldLock="0"/>
      </w:r>
      <w:r>
        <w:instrText xml:space="preserve"> PAGEREF _Toc1 \h </w:instrText>
      </w:r>
      <w:r>
        <w:rPr/>
        <w:fldChar w:fldCharType="separate" w:fldLock="0"/>
      </w:r>
      <w:r>
        <w:rPr>
          <w:rFonts w:cs="Arial Unicode MS" w:eastAsia="Arial Unicode MS"/>
          <w:rtl w:val="0"/>
        </w:rPr>
        <w:t>7</w:t>
      </w:r>
      <w:r>
        <w:rPr/>
        <w:fldChar w:fldCharType="end" w:fldLock="0"/>
      </w:r>
    </w:p>
    <w:p>
      <w:pPr>
        <w:pStyle w:val="TOC 1"/>
      </w:pPr>
      <w:r>
        <w:rPr>
          <w:rFonts w:cs="Arial Unicode MS" w:eastAsia="Arial Unicode MS"/>
          <w:rtl w:val="0"/>
          <w:lang w:val="en-US"/>
        </w:rPr>
        <w:t>Hermeneutical Injustice and Trust</w:t>
        <w:tab/>
      </w:r>
      <w:r>
        <w:rPr/>
        <w:fldChar w:fldCharType="begin" w:fldLock="0"/>
      </w:r>
      <w:r>
        <w:instrText xml:space="preserve"> PAGEREF _Toc2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lang w:val="en-US"/>
        </w:rPr>
        <w:t>Clinical Deployment</w:t>
        <w:tab/>
      </w:r>
      <w:r>
        <w:rPr/>
        <w:fldChar w:fldCharType="begin" w:fldLock="0"/>
      </w:r>
      <w:r>
        <w:instrText xml:space="preserve"> PAGEREF _Toc3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lang w:val="it-IT"/>
        </w:rPr>
        <w:t>Conclusion</w:t>
        <w:tab/>
      </w:r>
      <w:r>
        <w:rPr/>
        <w:fldChar w:fldCharType="begin" w:fldLock="0"/>
      </w:r>
      <w:r>
        <w:instrText xml:space="preserve"> PAGEREF _Toc4 \h </w:instrText>
      </w:r>
      <w:r>
        <w:rPr/>
        <w:fldChar w:fldCharType="separate" w:fldLock="0"/>
      </w:r>
      <w:r>
        <w:rPr>
          <w:rFonts w:cs="Arial Unicode MS" w:eastAsia="Arial Unicode MS"/>
          <w:rtl w:val="0"/>
        </w:rPr>
        <w:t>11</w:t>
      </w:r>
      <w:r>
        <w:rPr/>
        <w:fldChar w:fldCharType="end" w:fldLock="0"/>
      </w:r>
    </w:p>
    <w:p>
      <w:pPr>
        <w:pStyle w:val="TOC 1"/>
      </w:pPr>
      <w:r>
        <w:rPr>
          <w:rFonts w:cs="Arial Unicode MS" w:eastAsia="Arial Unicode MS"/>
          <w:rtl w:val="0"/>
          <w:lang w:val="fr-FR"/>
        </w:rPr>
        <w:t>Bibliography</w:t>
        <w:tab/>
      </w:r>
      <w:r>
        <w:rPr/>
        <w:fldChar w:fldCharType="begin" w:fldLock="0"/>
      </w:r>
      <w:r>
        <w:instrText xml:space="preserve"> PAGEREF _Toc5 \h </w:instrText>
      </w:r>
      <w:r>
        <w:rPr/>
        <w:fldChar w:fldCharType="separate" w:fldLock="0"/>
      </w:r>
      <w:r>
        <w:rPr>
          <w:rFonts w:cs="Arial Unicode MS" w:eastAsia="Arial Unicode MS"/>
          <w:rtl w:val="0"/>
        </w:rPr>
        <w:t>13</w:t>
      </w:r>
      <w:r>
        <w:rPr/>
        <w:fldChar w:fldCharType="end" w:fldLock="0"/>
      </w:r>
    </w:p>
    <w:p>
      <w:pPr>
        <w:pStyle w:val="TOC 1"/>
      </w:pPr>
      <w:r>
        <w:rPr>
          <w:rFonts w:cs="Arial Unicode MS" w:eastAsia="Arial Unicode MS" w:hint="default"/>
          <w:rtl w:val="0"/>
          <w:lang w:val="de-DE"/>
        </w:rPr>
        <w:t>Eigenständigkeitserklärung</w:t>
        <w:tab/>
      </w:r>
      <w:r>
        <w:rPr/>
        <w:fldChar w:fldCharType="begin" w:fldLock="0"/>
      </w:r>
      <w:r>
        <w:instrText xml:space="preserve"> PAGEREF _Toc6 \h </w:instrText>
      </w:r>
      <w:r>
        <w:rPr/>
        <w:fldChar w:fldCharType="separate" w:fldLock="0"/>
      </w:r>
      <w:r>
        <w:rPr>
          <w:rFonts w:cs="Arial Unicode MS" w:eastAsia="Arial Unicode MS"/>
          <w:rtl w:val="0"/>
        </w:rPr>
        <w:t>14</w:t>
      </w:r>
      <w:r>
        <w:rPr/>
        <w:fldChar w:fldCharType="end" w:fldLock="0"/>
      </w:r>
    </w:p>
    <w:p>
      <w:pPr>
        <w:pStyle w:val="Text A A"/>
        <w:rPr>
          <w:rFonts w:ascii="Times New Roman" w:cs="Times New Roman" w:hAnsi="Times New Roman" w:eastAsia="Times New Roman"/>
          <w:b w:val="1"/>
          <w:bCs w:val="1"/>
          <w:sz w:val="24"/>
          <w:szCs w:val="24"/>
        </w:rPr>
      </w:pPr>
      <w:r>
        <w:rPr/>
        <w:fldChar w:fldCharType="end" w:fldLock="0"/>
      </w: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pPr>
    </w:p>
    <w:p>
      <w:pPr>
        <w:pStyle w:val="Text A A"/>
        <w:rPr>
          <w:rFonts w:ascii="Times New Roman" w:cs="Times New Roman" w:hAnsi="Times New Roman" w:eastAsia="Times New Roman"/>
          <w:sz w:val="24"/>
          <w:szCs w:val="24"/>
        </w:rPr>
      </w:pPr>
    </w:p>
    <w:p>
      <w:pPr>
        <w:pStyle w:val="Überschrift"/>
        <w:rPr>
          <w:rFonts w:ascii="Times New Roman" w:cs="Times New Roman" w:hAnsi="Times New Roman" w:eastAsia="Times New Roman"/>
          <w:sz w:val="28"/>
          <w:szCs w:val="28"/>
        </w:rPr>
      </w:pPr>
    </w:p>
    <w:p>
      <w:pPr>
        <w:pStyle w:val="Überschrift"/>
        <w:rPr>
          <w:rFonts w:ascii="Times New Roman" w:cs="Times New Roman" w:hAnsi="Times New Roman" w:eastAsia="Times New Roman"/>
          <w:sz w:val="28"/>
          <w:szCs w:val="28"/>
        </w:rPr>
      </w:pPr>
    </w:p>
    <w:p>
      <w:pPr>
        <w:pStyle w:val="Text A"/>
      </w:pPr>
    </w:p>
    <w:p>
      <w:pPr>
        <w:pStyle w:val="Text A"/>
      </w:pPr>
    </w:p>
    <w:p>
      <w:pPr>
        <w:pStyle w:val="Überschrift"/>
        <w:rPr>
          <w:rFonts w:ascii="Times New Roman" w:cs="Times New Roman" w:hAnsi="Times New Roman" w:eastAsia="Times New Roman"/>
          <w:sz w:val="28"/>
          <w:szCs w:val="28"/>
        </w:rPr>
      </w:pPr>
    </w:p>
    <w:p>
      <w:pPr>
        <w:pStyle w:val="Überschrift"/>
        <w:rPr>
          <w:rFonts w:ascii="Times New Roman" w:cs="Times New Roman" w:hAnsi="Times New Roman" w:eastAsia="Times New Roman"/>
          <w:sz w:val="28"/>
          <w:szCs w:val="28"/>
        </w:rPr>
      </w:pPr>
    </w:p>
    <w:p>
      <w:pPr>
        <w:pStyle w:val="Überschrift"/>
        <w:rPr>
          <w:rFonts w:ascii="Times New Roman" w:cs="Times New Roman" w:hAnsi="Times New Roman" w:eastAsia="Times New Roman"/>
          <w:sz w:val="28"/>
          <w:szCs w:val="28"/>
        </w:rPr>
      </w:pPr>
    </w:p>
    <w:p>
      <w:pPr>
        <w:pStyle w:val="Überschrift"/>
        <w:rPr>
          <w:rFonts w:ascii="Times New Roman" w:cs="Times New Roman" w:hAnsi="Times New Roman" w:eastAsia="Times New Roman"/>
          <w:sz w:val="28"/>
          <w:szCs w:val="28"/>
        </w:rPr>
      </w:pPr>
      <w:bookmarkStart w:name="_Toc" w:id="0"/>
      <w:r>
        <w:rPr>
          <w:rFonts w:ascii="Times New Roman" w:hAnsi="Times New Roman"/>
          <w:sz w:val="28"/>
          <w:szCs w:val="28"/>
          <w:rtl w:val="0"/>
          <w:lang w:val="de-DE"/>
        </w:rPr>
        <w:t>Introduction</w:t>
      </w:r>
      <w:bookmarkEnd w:id="0"/>
    </w:p>
    <w:p>
      <w:pPr>
        <w:pStyle w:val="Text A A"/>
        <w:spacing w:line="360" w:lineRule="auto"/>
        <w:rPr>
          <w:rFonts w:ascii="Times New Roman" w:cs="Times New Roman" w:hAnsi="Times New Roman" w:eastAsia="Times New Roman"/>
          <w:outline w:val="0"/>
          <w:color w:val="ee220c"/>
          <w:sz w:val="24"/>
          <w:szCs w:val="24"/>
          <w:u w:color="ee220c"/>
          <w14:textFill>
            <w14:solidFill>
              <w14:srgbClr w14:val="EE220C"/>
            </w14:solidFill>
          </w14:textFill>
        </w:rPr>
      </w:pPr>
      <w:r>
        <w:rPr>
          <w:rFonts w:ascii="Times New Roman" w:cs="Times New Roman" w:hAnsi="Times New Roman" w:eastAsia="Times New Roman"/>
          <w:sz w:val="24"/>
          <w:szCs w:val="24"/>
        </w:rPr>
        <w:br w:type="textWrapping"/>
      </w:r>
      <w:r>
        <w:rPr>
          <w:rFonts w:ascii="Times New Roman" w:hAnsi="Times New Roman"/>
          <w:sz w:val="24"/>
          <w:szCs w:val="24"/>
          <w:rtl w:val="0"/>
          <w:lang w:val="de-DE"/>
        </w:rPr>
        <w:t>When looking at organ transplantation, there is a measurement that determines whether a patient qualifies for transplant evaluation and if so, how urgently. In the United States, for example, hospitals used a standard formula to estimate kidney function.</w:t>
      </w:r>
    </w:p>
    <w:p>
      <w:pPr>
        <w:pStyle w:val="Text A A"/>
        <w:spacing w:line="360" w:lineRule="auto"/>
        <w:rPr>
          <w:rFonts w:ascii="Times New Roman" w:cs="Times New Roman" w:hAnsi="Times New Roman" w:eastAsia="Times New Roman"/>
          <w:sz w:val="24"/>
          <w:szCs w:val="24"/>
        </w:rPr>
      </w:pPr>
      <w:r>
        <w:rPr>
          <w:rFonts w:ascii="Times New Roman" w:hAnsi="Times New Roman"/>
          <w:sz w:val="24"/>
          <w:szCs w:val="24"/>
          <w:rtl w:val="0"/>
          <w:lang w:val="de-DE"/>
        </w:rPr>
        <w:t xml:space="preserve">For several years this so called </w:t>
      </w:r>
      <w:r>
        <w:rPr>
          <w:rFonts w:ascii="Times New Roman" w:hAnsi="Times New Roman"/>
          <w:sz w:val="24"/>
          <w:szCs w:val="24"/>
          <w:rtl w:val="0"/>
          <w:lang w:val="en-US"/>
        </w:rPr>
        <w:t>estimated Glomerular Filtration Rate</w:t>
      </w:r>
      <w:r>
        <w:rPr>
          <w:rFonts w:ascii="Times New Roman" w:hAnsi="Times New Roman"/>
          <w:sz w:val="24"/>
          <w:szCs w:val="24"/>
          <w:rtl w:val="0"/>
          <w:lang w:val="de-DE"/>
        </w:rPr>
        <w:t xml:space="preserve"> (=eGFR) led to black patients being systematically assigned higher kidney function scores than their actual clinical situation justified, based on a built in variable called race. Consequently, Black patients were referred for transplants later and waited longer on transplant lists</w:t>
      </w:r>
      <w:r>
        <w:rPr>
          <w:rFonts w:ascii="Times New Roman" w:hAnsi="Times New Roman"/>
          <w:outline w:val="0"/>
          <w:color w:val="ee220c"/>
          <w:sz w:val="24"/>
          <w:szCs w:val="24"/>
          <w:u w:color="ee220c"/>
          <w:rtl w:val="0"/>
          <w:lang w:val="de-DE"/>
          <w14:textFill>
            <w14:solidFill>
              <w14:srgbClr w14:val="EE220C"/>
            </w14:solidFill>
          </w14:textFill>
        </w:rPr>
        <w:t>.</w:t>
      </w:r>
      <w:r>
        <w:rPr>
          <w:rFonts w:ascii="Times New Roman" w:cs="Times New Roman" w:hAnsi="Times New Roman" w:eastAsia="Times New Roman"/>
          <w:outline w:val="0"/>
          <w:color w:val="ee220c"/>
          <w:sz w:val="24"/>
          <w:szCs w:val="24"/>
          <w:u w:color="ee220c"/>
          <w:vertAlign w:val="superscript"/>
          <w:lang w:val="de-DE"/>
          <w14:textFill>
            <w14:solidFill>
              <w14:srgbClr w14:val="EE220C"/>
            </w14:solidFill>
          </w14:textFill>
        </w:rPr>
        <w:footnoteReference w:id="1"/>
      </w:r>
      <w:r>
        <w:rPr>
          <w:rFonts w:ascii="Times New Roman" w:hAnsi="Times New Roman"/>
          <w:outline w:val="0"/>
          <w:color w:val="ee220c"/>
          <w:sz w:val="24"/>
          <w:szCs w:val="24"/>
          <w:u w:color="ee220c"/>
          <w:rtl w:val="0"/>
          <w:lang w:val="de-DE"/>
          <w14:textFill>
            <w14:solidFill>
              <w14:srgbClr w14:val="EE220C"/>
            </w14:solidFill>
          </w14:textFill>
        </w:rPr>
        <w:t xml:space="preserve"> </w:t>
      </w:r>
      <w:r>
        <w:rPr>
          <w:rFonts w:ascii="Times New Roman" w:hAnsi="Times New Roman"/>
          <w:sz w:val="24"/>
          <w:szCs w:val="24"/>
          <w:rtl w:val="0"/>
          <w:lang w:val="de-DE"/>
        </w:rPr>
        <w:t>It did not mean, that doctors were making racial decisions, but it meant that the algorithm was quietly racist, in a way, while nobody questioned it because it led to results.</w:t>
      </w:r>
      <w:r>
        <w:rPr>
          <w:rFonts w:ascii="Times New Roman" w:cs="Times New Roman" w:hAnsi="Times New Roman" w:eastAsia="Times New Roman"/>
          <w:sz w:val="24"/>
          <w:szCs w:val="24"/>
          <w:lang w:val="de-DE"/>
        </w:rPr>
        <w:br w:type="textWrapping"/>
      </w:r>
      <w:r>
        <w:rPr>
          <w:rFonts w:ascii="Times New Roman" w:hAnsi="Times New Roman"/>
          <w:sz w:val="24"/>
          <w:szCs w:val="24"/>
          <w:rtl w:val="0"/>
          <w:lang w:val="en-US"/>
        </w:rPr>
        <w:t>Medical AI is often presented as a solution to exactly this kind of unequal treatment, as a technology that can deliver consistent, high-quality diagnostics regardless of where someone lives or who treats them. That potential is real and worth taking seriously. But the eGFR case raises a question that gets far less attention than the promise: whose body was the algorithm actually built for?</w:t>
      </w:r>
    </w:p>
    <w:p>
      <w:pPr>
        <w:pStyle w:val="Text A A"/>
        <w:spacing w:line="36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Or to be more exact:</w:t>
      </w:r>
    </w:p>
    <w:p>
      <w:pPr>
        <w:pStyle w:val="Text A A"/>
        <w:spacing w:line="360" w:lineRule="auto"/>
        <w:rPr>
          <w:rFonts w:ascii="Times New Roman" w:cs="Times New Roman" w:hAnsi="Times New Roman" w:eastAsia="Times New Roman"/>
          <w:b w:val="1"/>
          <w:bCs w:val="1"/>
          <w:i w:val="1"/>
          <w:iCs w:val="1"/>
          <w:sz w:val="24"/>
          <w:szCs w:val="24"/>
        </w:rPr>
      </w:pPr>
      <w:r>
        <w:rPr>
          <w:rFonts w:ascii="Times New Roman" w:cs="Times New Roman" w:hAnsi="Times New Roman" w:eastAsia="Times New Roman"/>
          <w:sz w:val="24"/>
          <w:szCs w:val="24"/>
          <w:lang w:val="en-US"/>
        </w:rPr>
        <w:br w:type="textWrapping"/>
      </w:r>
      <w:r>
        <w:rPr>
          <w:rFonts w:ascii="Times New Roman" w:hAnsi="Times New Roman"/>
          <w:b w:val="1"/>
          <w:bCs w:val="1"/>
          <w:i w:val="1"/>
          <w:iCs w:val="1"/>
          <w:sz w:val="24"/>
          <w:szCs w:val="24"/>
          <w:rtl w:val="0"/>
          <w:lang w:val="en-US"/>
        </w:rPr>
        <w:t>To what extent does the latent space of medical AI render certain bodies epistemically invisible</w:t>
      </w:r>
      <w:r>
        <w:rPr>
          <w:rFonts w:ascii="Times New Roman" w:hAnsi="Times New Roman"/>
          <w:b w:val="1"/>
          <w:bCs w:val="1"/>
          <w:i w:val="1"/>
          <w:iCs w:val="1"/>
          <w:sz w:val="24"/>
          <w:szCs w:val="24"/>
          <w:rtl w:val="0"/>
          <w:lang w:val="de-DE"/>
        </w:rPr>
        <w:t>? A</w:t>
      </w:r>
      <w:r>
        <w:rPr>
          <w:rFonts w:ascii="Times New Roman" w:hAnsi="Times New Roman"/>
          <w:b w:val="1"/>
          <w:bCs w:val="1"/>
          <w:i w:val="1"/>
          <w:iCs w:val="1"/>
          <w:sz w:val="24"/>
          <w:szCs w:val="24"/>
          <w:rtl w:val="0"/>
          <w:lang w:val="en-US"/>
        </w:rPr>
        <w:t>nd what does this mean for the promise of equitable diagnostics?</w:t>
      </w:r>
    </w:p>
    <w:p>
      <w:pPr>
        <w:pStyle w:val="Standard"/>
        <w:suppressAutoHyphens w:val="1"/>
        <w:spacing w:before="0" w:after="240" w:line="360" w:lineRule="auto"/>
        <w:rPr>
          <w:rFonts w:ascii="Times New Roman" w:cs="Times New Roman" w:hAnsi="Times New Roman" w:eastAsia="Times New Roman"/>
        </w:rPr>
      </w:pPr>
      <w:r>
        <w:rPr>
          <w:rFonts w:ascii="Times New Roman" w:cs="Times New Roman" w:hAnsi="Times New Roman" w:eastAsia="Times New Roman"/>
          <w:b w:val="1"/>
          <w:bCs w:val="1"/>
          <w:lang w:val="en-US"/>
        </w:rPr>
        <w:br w:type="textWrapping"/>
      </w:r>
      <w:r>
        <w:rPr>
          <w:rFonts w:ascii="Times New Roman" w:hAnsi="Times New Roman"/>
          <w:rtl w:val="0"/>
          <w:lang w:val="en-US"/>
        </w:rPr>
        <w:t>Over the past decade, artificial intelligence has increasingly entered the field of medicine. Medical AI refers broadly to machine learning systems trained on large amounts of clinical data</w:t>
      </w:r>
      <w:r>
        <w:rPr>
          <w:rFonts w:ascii="Times New Roman" w:hAnsi="Times New Roman"/>
          <w:rtl w:val="0"/>
          <w:lang w:val="de-DE"/>
        </w:rPr>
        <w:t xml:space="preserve">, </w:t>
      </w:r>
      <w:r>
        <w:rPr>
          <w:rFonts w:ascii="Times New Roman" w:hAnsi="Times New Roman"/>
          <w:rtl w:val="0"/>
          <w:lang w:val="en-US"/>
        </w:rPr>
        <w:t>such as medical images, patient records, or lab results</w:t>
      </w:r>
      <w:r>
        <w:rPr>
          <w:rFonts w:ascii="Times New Roman" w:hAnsi="Times New Roman"/>
          <w:rtl w:val="0"/>
          <w:lang w:val="de-DE"/>
        </w:rPr>
        <w:t xml:space="preserve"> </w:t>
      </w:r>
      <w:r>
        <w:rPr>
          <w:rFonts w:ascii="Times New Roman" w:hAnsi="Times New Roman"/>
          <w:rtl w:val="0"/>
          <w:lang w:val="en-US"/>
        </w:rPr>
        <w:t>to perform diagnostic tasks.</w:t>
      </w:r>
      <w:r>
        <w:rPr>
          <w:rFonts w:ascii="Times New Roman" w:cs="Times New Roman" w:hAnsi="Times New Roman" w:eastAsia="Times New Roman"/>
          <w:vertAlign w:val="superscript"/>
          <w:lang w:val="en-US"/>
        </w:rPr>
        <w:footnoteReference w:id="2"/>
      </w:r>
      <w:r>
        <w:rPr>
          <w:rFonts w:ascii="Times New Roman" w:hAnsi="Times New Roman"/>
          <w:rtl w:val="0"/>
          <w:lang w:val="en-US"/>
        </w:rPr>
        <w:t xml:space="preserve"> These systems hav</w:t>
      </w:r>
      <w:r>
        <w:rPr>
          <w:rFonts w:ascii="Times New Roman" w:hAnsi="Times New Roman"/>
          <w:rtl w:val="0"/>
          <w:lang w:val="de-DE"/>
        </w:rPr>
        <w:t>e</w:t>
      </w:r>
      <w:r>
        <w:rPr>
          <w:rFonts w:ascii="Times New Roman" w:hAnsi="Times New Roman"/>
          <w:rtl w:val="0"/>
          <w:lang w:val="en-US"/>
        </w:rPr>
        <w:t xml:space="preserve"> shown impressive results</w:t>
      </w:r>
      <w:r>
        <w:rPr>
          <w:rFonts w:ascii="Times New Roman" w:hAnsi="Times New Roman"/>
          <w:rtl w:val="0"/>
          <w:lang w:val="de-DE"/>
        </w:rPr>
        <w:t xml:space="preserve"> as</w:t>
      </w:r>
      <w:r>
        <w:rPr>
          <w:rFonts w:ascii="Times New Roman" w:hAnsi="Times New Roman"/>
          <w:rtl w:val="0"/>
          <w:lang w:val="en-US"/>
        </w:rPr>
        <w:t xml:space="preserve"> models trained on chest X-rays can detect pneumonia or lung cancer at a level comparable to experienced radiologists</w:t>
      </w:r>
      <w:r>
        <w:rPr>
          <w:rFonts w:ascii="Times New Roman" w:hAnsi="Times New Roman"/>
          <w:rtl w:val="0"/>
          <w:lang w:val="de-DE"/>
        </w:rPr>
        <w:t xml:space="preserve"> now</w:t>
      </w:r>
      <w:r>
        <w:rPr>
          <w:rFonts w:ascii="Times New Roman" w:hAnsi="Times New Roman"/>
          <w:rtl w:val="0"/>
          <w:lang w:val="en-US"/>
        </w:rPr>
        <w:t>, and AI tools for analysing skin images have matched dermatologist accuracy in identifying melanoma</w:t>
      </w:r>
      <w:r>
        <w:rPr>
          <w:rFonts w:ascii="Times New Roman" w:hAnsi="Times New Roman"/>
          <w:rtl w:val="0"/>
          <w:lang w:val="de-DE"/>
        </w:rPr>
        <w:t>.</w:t>
      </w:r>
      <w:r>
        <w:rPr>
          <w:rFonts w:ascii="Times New Roman" w:cs="Times New Roman" w:hAnsi="Times New Roman" w:eastAsia="Times New Roman"/>
          <w:vertAlign w:val="superscript"/>
          <w:lang w:val="en-US"/>
        </w:rPr>
        <w:footnoteReference w:id="3"/>
      </w:r>
      <w:r>
        <w:rPr>
          <w:rFonts w:ascii="Times New Roman" w:hAnsi="Times New Roman"/>
          <w:rtl w:val="0"/>
          <w:lang w:val="en-US"/>
        </w:rPr>
        <w:t xml:space="preserve"> Because these systems can process large volumes of data quickly and do not require a specialist to be physically present, they are often presented as a way to deliver consistent, high-quality diagnostics regardless of where someone lives or who treats them</w:t>
      </w:r>
      <w:r>
        <w:rPr>
          <w:rFonts w:ascii="Times New Roman" w:hAnsi="Times New Roman"/>
          <w:rtl w:val="0"/>
          <w:lang w:val="de-DE"/>
        </w:rPr>
        <w:t>, which is</w:t>
      </w:r>
      <w:r>
        <w:rPr>
          <w:rFonts w:ascii="Times New Roman" w:hAnsi="Times New Roman"/>
          <w:rtl w:val="0"/>
          <w:lang w:val="en-US"/>
        </w:rPr>
        <w:t xml:space="preserve"> a potential solution to longstanding inequalities in healthcare access. That potential is real and worth taking seriously.</w:t>
      </w:r>
    </w:p>
    <w:p>
      <w:pPr>
        <w:pStyle w:val="Standard"/>
        <w:suppressAutoHyphens w:val="1"/>
        <w:spacing w:before="0" w:after="240" w:line="360" w:lineRule="auto"/>
        <w:rPr>
          <w:rFonts w:ascii="Times New Roman" w:cs="Times New Roman" w:hAnsi="Times New Roman" w:eastAsia="Times New Roman"/>
          <w:lang w:val="de-DE"/>
        </w:rPr>
      </w:pPr>
      <w:r>
        <w:rPr>
          <w:rFonts w:ascii="Times New Roman" w:hAnsi="Times New Roman"/>
          <w:rtl w:val="0"/>
          <w:lang w:val="de-DE"/>
        </w:rPr>
        <w:t xml:space="preserve">Before getting more into the technical details of how medical AI models work, it is important to point out that this is also a political question. </w:t>
      </w:r>
      <w:r>
        <w:rPr>
          <w:rFonts w:ascii="Times New Roman" w:hAnsi="Times New Roman"/>
          <w:u w:color="ee220c"/>
          <w:rtl w:val="0"/>
          <w:lang w:val="de-DE"/>
        </w:rPr>
        <w:t>Riley and Rhee (2023</w:t>
      </w:r>
      <w:r>
        <w:rPr>
          <w:rFonts w:ascii="Times New Roman" w:hAnsi="Times New Roman"/>
          <w:rtl w:val="0"/>
          <w:lang w:val="de-DE"/>
        </w:rPr>
        <w:t>) describe AI systems not just as neutral, technical tools but as a cultural, political and infrastructural phenomena, as they are not built in a vacuum.</w:t>
      </w:r>
      <w:r>
        <w:rPr>
          <w:rFonts w:ascii="Times New Roman" w:cs="Times New Roman" w:hAnsi="Times New Roman" w:eastAsia="Times New Roman"/>
          <w:vertAlign w:val="superscript"/>
          <w:lang w:val="de-DE"/>
        </w:rPr>
        <w:footnoteReference w:id="4"/>
      </w:r>
      <w:r>
        <w:rPr>
          <w:rFonts w:ascii="Times New Roman" w:hAnsi="Times New Roman"/>
          <w:rtl w:val="0"/>
          <w:lang w:val="de-DE"/>
        </w:rPr>
        <w:t xml:space="preserve"> They are built by people in institutions with certain goals and with certain data that comes from somewhere specific. All of these factors mixed together and especially the assumptions and possible blind spots of the people building and training them get embedded into the system itself, right from the start, so when the system is deployed, those assumptions go with it.</w:t>
      </w: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en-US"/>
        </w:rPr>
        <w:t>This is easy to overlook because AI is associated with objectivity and mathematics</w:t>
      </w:r>
      <w:r>
        <w:rPr>
          <w:rFonts w:ascii="Times New Roman" w:hAnsi="Times New Roman"/>
          <w:rtl w:val="0"/>
          <w:lang w:val="de-DE"/>
        </w:rPr>
        <w:t>, however,</w:t>
      </w:r>
      <w:r>
        <w:rPr>
          <w:rFonts w:ascii="Times New Roman" w:hAnsi="Times New Roman"/>
          <w:rtl w:val="0"/>
          <w:lang w:val="en-US"/>
        </w:rPr>
        <w:t xml:space="preserve"> the mathematics only operate on whatever data they are given, and that data is never neutral.</w:t>
      </w:r>
      <w:r>
        <w:rPr>
          <w:rFonts w:ascii="Times New Roman" w:hAnsi="Times New Roman"/>
          <w:rtl w:val="0"/>
          <w:lang w:val="de-DE"/>
        </w:rPr>
        <w:t xml:space="preserve"> Especially in mathematics, this matters enormously, as the training data does not appear from nowhere; often it is collected at specific hospitals, from specific patient groups and populations under specific research conditions. For example, </w:t>
      </w:r>
      <w:r>
        <w:rPr>
          <w:rFonts w:ascii="Times New Roman" w:hAnsi="Times New Roman"/>
          <w:u w:color="ee220c"/>
          <w:rtl w:val="0"/>
          <w:lang w:val="de-DE"/>
        </w:rPr>
        <w:t xml:space="preserve">researcher </w:t>
      </w:r>
      <w:r>
        <w:rPr>
          <w:rFonts w:ascii="Times New Roman" w:hAnsi="Times New Roman"/>
          <w:rtl w:val="0"/>
          <w:lang w:val="en-US"/>
        </w:rPr>
        <w:t>point out that more than half of all published clinical AI studies draw on data from the United States or China</w:t>
      </w:r>
      <w:r>
        <w:rPr>
          <w:rFonts w:ascii="Times New Roman" w:hAnsi="Times New Roman"/>
          <w:rtl w:val="0"/>
          <w:lang w:val="de-DE"/>
        </w:rPr>
        <w:t>, which is a striking concentration for a technology that is supposed to be used globally to benefit patients everywhere.</w:t>
      </w:r>
      <w:r>
        <w:rPr>
          <w:rFonts w:ascii="Times New Roman" w:cs="Times New Roman" w:hAnsi="Times New Roman" w:eastAsia="Times New Roman"/>
          <w:vertAlign w:val="superscript"/>
          <w:lang w:val="de-DE"/>
        </w:rPr>
        <w:footnoteReference w:id="5"/>
      </w:r>
      <w:r>
        <w:rPr>
          <w:rFonts w:ascii="Times New Roman" w:hAnsi="Times New Roman"/>
          <w:rtl w:val="0"/>
          <w:lang w:val="de-DE"/>
        </w:rPr>
        <w:t xml:space="preserve"> </w:t>
      </w:r>
      <w:r>
        <w:rPr>
          <w:rFonts w:ascii="Times New Roman" w:hAnsi="Times New Roman"/>
          <w:rtl w:val="0"/>
          <w:lang w:val="en-US"/>
        </w:rPr>
        <w:t>The patients most likely to appear in these datasets are those with access to tertiary care at research institutions, who are enrolled in studies, and whose data can be used under the relevant consent frameworks. This is not a deliberate exclusion</w:t>
      </w:r>
      <w:r>
        <w:rPr>
          <w:rFonts w:ascii="Times New Roman" w:hAnsi="Times New Roman"/>
          <w:rtl w:val="0"/>
          <w:lang w:val="de-DE"/>
        </w:rPr>
        <w:t>,</w:t>
      </w:r>
      <w:r>
        <w:rPr>
          <w:rFonts w:ascii="Times New Roman" w:hAnsi="Times New Roman"/>
          <w:rtl w:val="0"/>
          <w:lang w:val="en-US"/>
        </w:rPr>
        <w:t xml:space="preserve"> it is simply how research data gets produced. But the effect is systematic</w:t>
      </w:r>
      <w:r>
        <w:rPr>
          <w:rFonts w:ascii="Times New Roman" w:hAnsi="Times New Roman"/>
          <w:rtl w:val="0"/>
          <w:lang w:val="de-DE"/>
        </w:rPr>
        <w:t>, because</w:t>
      </w:r>
      <w:r>
        <w:rPr>
          <w:rFonts w:ascii="Times New Roman" w:hAnsi="Times New Roman"/>
          <w:rtl w:val="0"/>
          <w:lang w:val="en-US"/>
        </w:rPr>
        <w:t xml:space="preserve"> some populations are structurally present in the training data, and others are structurally absent.</w:t>
      </w:r>
      <w:r>
        <w:rPr>
          <w:rFonts w:ascii="Times New Roman" w:cs="Times New Roman" w:hAnsi="Times New Roman" w:eastAsia="Times New Roman"/>
          <w:vertAlign w:val="superscript"/>
          <w:lang w:val="en-US"/>
        </w:rPr>
        <w:footnoteReference w:id="6"/>
      </w:r>
      <w:r>
        <w:rPr>
          <w:rFonts w:ascii="Times New Roman" w:hAnsi="Times New Roman"/>
          <w:rtl w:val="0"/>
          <w:lang w:val="de-DE"/>
        </w:rPr>
        <w:t xml:space="preserve"> In their analysis, argue that assembling a dataset is never just collecting data, but it is always a construction and a building a specific version of the world. </w:t>
      </w:r>
      <w:r>
        <w:rPr>
          <w:rFonts w:ascii="Times New Roman" w:hAnsi="Times New Roman"/>
          <w:rtl w:val="0"/>
          <w:lang w:val="en-US"/>
        </w:rPr>
        <w:t>What gets included, what gets excluded, and how things are labelled all encode specific assumptions about what is normal and what is variation from the norm</w:t>
      </w:r>
      <w:r>
        <w:rPr>
          <w:rFonts w:ascii="Times New Roman" w:hAnsi="Times New Roman"/>
          <w:rtl w:val="0"/>
          <w:lang w:val="de-DE"/>
        </w:rPr>
        <w:t>, meaning that for medical AI, the training data already carries within it the disparities and structural gap of the health care systems this data was drawn from.</w:t>
      </w:r>
    </w:p>
    <w:p>
      <w:pPr>
        <w:pStyle w:val="Standard"/>
        <w:suppressAutoHyphens w:val="1"/>
        <w:spacing w:before="0" w:line="360" w:lineRule="auto"/>
        <w:rPr>
          <w:rFonts w:ascii="Times New Roman" w:cs="Times New Roman" w:hAnsi="Times New Roman" w:eastAsia="Times New Roman"/>
        </w:rPr>
      </w:pPr>
    </w:p>
    <w:p>
      <w:pPr>
        <w:pStyle w:val="Standard"/>
        <w:suppressAutoHyphens w:val="1"/>
        <w:spacing w:before="0" w:line="360" w:lineRule="auto"/>
        <w:rPr>
          <w:rFonts w:ascii="Times New Roman" w:cs="Times New Roman" w:hAnsi="Times New Roman" w:eastAsia="Times New Roman"/>
          <w:b w:val="1"/>
          <w:bCs w:val="1"/>
          <w:sz w:val="28"/>
          <w:szCs w:val="28"/>
          <w:lang w:val="de-DE"/>
        </w:rPr>
      </w:pPr>
      <w:r>
        <w:rPr>
          <w:rFonts w:ascii="Times New Roman" w:hAnsi="Times New Roman"/>
          <w:b w:val="1"/>
          <w:bCs w:val="1"/>
          <w:sz w:val="28"/>
          <w:szCs w:val="28"/>
          <w:rtl w:val="0"/>
          <w:lang w:val="de-DE"/>
        </w:rPr>
        <w:t>Latent Spaces as Epistemic Infrastructure problem</w:t>
      </w:r>
    </w:p>
    <w:p>
      <w:pPr>
        <w:pStyle w:val="Standard"/>
        <w:suppressAutoHyphens w:val="1"/>
        <w:spacing w:before="0" w:line="360" w:lineRule="auto"/>
        <w:rPr>
          <w:rFonts w:ascii="Times New Roman" w:cs="Times New Roman" w:hAnsi="Times New Roman" w:eastAsia="Times New Roman"/>
        </w:rPr>
      </w:pP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de-DE"/>
        </w:rPr>
        <w:t>When trying to understand where the problem of exclusion stems from inside a medical AI model, it helps to look at what happens between the input, like a medical image fed into the model, and the output, which is the resulting diagnosis or prediction. That in-between space is called the Latent Space and it is the core of efficient mathematical optimization.</w:t>
      </w:r>
      <w:r>
        <w:rPr>
          <w:rFonts w:ascii="Times New Roman" w:cs="Times New Roman" w:hAnsi="Times New Roman" w:eastAsia="Times New Roman"/>
          <w:lang w:val="en-US"/>
        </w:rPr>
        <w:br w:type="textWrapping"/>
      </w:r>
      <w:r>
        <w:rPr>
          <w:rFonts w:ascii="Times New Roman" w:hAnsi="Times New Roman"/>
          <w:rtl w:val="0"/>
          <w:lang w:val="de-DE"/>
        </w:rPr>
        <w:t xml:space="preserve">So what happens in this </w:t>
      </w:r>
      <w:r>
        <w:rPr>
          <w:rFonts w:ascii="Times New Roman" w:hAnsi="Times New Roman" w:hint="default"/>
          <w:rtl w:val="0"/>
          <w:lang w:val="de-DE"/>
        </w:rPr>
        <w:t>‚</w:t>
      </w:r>
      <w:r>
        <w:rPr>
          <w:rFonts w:ascii="Times New Roman" w:hAnsi="Times New Roman"/>
          <w:rtl w:val="0"/>
          <w:lang w:val="de-DE"/>
        </w:rPr>
        <w:t>space</w:t>
      </w:r>
      <w:r>
        <w:rPr>
          <w:rFonts w:ascii="Times New Roman" w:hAnsi="Times New Roman" w:hint="default"/>
          <w:rtl w:val="0"/>
          <w:lang w:val="de-DE"/>
        </w:rPr>
        <w:t>‘</w:t>
      </w:r>
      <w:r>
        <w:rPr>
          <w:rFonts w:ascii="Times New Roman" w:hAnsi="Times New Roman"/>
          <w:rtl w:val="0"/>
          <w:lang w:val="de-DE"/>
        </w:rPr>
        <w:t xml:space="preserve">? When a model is trained, it does not memorize every image it sees, but instead, it builds a compressed internal representation of the patterns across all the training images, which is a much smaller mathematical space. There, the variation it has encountered can be described, which literature describes as </w:t>
      </w:r>
      <w:r>
        <w:rPr>
          <w:rFonts w:ascii="Times New Roman" w:hAnsi="Times New Roman" w:hint="default"/>
          <w:rtl w:val="0"/>
          <w:lang w:val="de-DE"/>
        </w:rPr>
        <w:t>‚</w:t>
      </w:r>
      <w:r>
        <w:rPr>
          <w:rFonts w:ascii="Times New Roman" w:hAnsi="Times New Roman"/>
          <w:rtl w:val="0"/>
          <w:lang w:val="de-DE"/>
        </w:rPr>
        <w:t>compressed world-model</w:t>
      </w:r>
      <w:r>
        <w:rPr>
          <w:rFonts w:ascii="Times New Roman" w:hAnsi="Times New Roman" w:hint="default"/>
          <w:rtl w:val="0"/>
          <w:lang w:val="de-DE"/>
        </w:rPr>
        <w:t>‘</w:t>
      </w:r>
      <w:r>
        <w:rPr>
          <w:rFonts w:ascii="Times New Roman" w:hAnsi="Times New Roman"/>
          <w:rtl w:val="0"/>
          <w:lang w:val="de-DE"/>
        </w:rPr>
        <w:t>.</w:t>
      </w:r>
      <w:r>
        <w:rPr>
          <w:rFonts w:ascii="Times New Roman" w:cs="Times New Roman" w:hAnsi="Times New Roman" w:eastAsia="Times New Roman"/>
          <w:vertAlign w:val="superscript"/>
          <w:lang w:val="de-DE"/>
        </w:rPr>
        <w:footnoteReference w:id="7"/>
      </w:r>
      <w:r>
        <w:rPr>
          <w:rFonts w:ascii="Times New Roman" w:hAnsi="Times New Roman"/>
          <w:rtl w:val="0"/>
          <w:lang w:val="de-DE"/>
        </w:rPr>
        <w:t xml:space="preserve"> The latent space is essentially the model</w:t>
      </w:r>
      <w:r>
        <w:rPr>
          <w:rFonts w:ascii="Times New Roman" w:hAnsi="Times New Roman" w:hint="default"/>
          <w:rtl w:val="0"/>
          <w:lang w:val="de-DE"/>
        </w:rPr>
        <w:t>’</w:t>
      </w:r>
      <w:r>
        <w:rPr>
          <w:rFonts w:ascii="Times New Roman" w:hAnsi="Times New Roman"/>
          <w:rtl w:val="0"/>
          <w:lang w:val="de-DE"/>
        </w:rPr>
        <w:t>s theory of its domain, encoding what kinds of variation exist, what counts as a meaningful difference and what stays as a constant. So when a new (diagnostic) image is fed to the model, it gets interpreted through this internal theory, making the latent space the model</w:t>
      </w:r>
      <w:r>
        <w:rPr>
          <w:rFonts w:ascii="Times New Roman" w:hAnsi="Times New Roman" w:hint="default"/>
          <w:rtl w:val="0"/>
          <w:lang w:val="de-DE"/>
        </w:rPr>
        <w:t>’</w:t>
      </w:r>
      <w:r>
        <w:rPr>
          <w:rFonts w:ascii="Times New Roman" w:hAnsi="Times New Roman"/>
          <w:rtl w:val="0"/>
          <w:lang w:val="de-DE"/>
        </w:rPr>
        <w:t xml:space="preserve">s framework for understanding the body. This matters because the framework is only as broad as the training data it comes from. A model trained on chest CT (=Computational Tomography, a type of detailed cross sectional imaging) scans from academic hospitals in the US will develop an </w:t>
      </w:r>
      <w:r>
        <w:rPr>
          <w:rFonts w:ascii="Times New Roman" w:hAnsi="Times New Roman" w:hint="default"/>
          <w:rtl w:val="0"/>
          <w:lang w:val="de-DE"/>
        </w:rPr>
        <w:t>‚</w:t>
      </w:r>
      <w:r>
        <w:rPr>
          <w:rFonts w:ascii="Times New Roman" w:hAnsi="Times New Roman"/>
          <w:rtl w:val="0"/>
          <w:lang w:val="de-DE"/>
        </w:rPr>
        <w:t>understanding</w:t>
      </w:r>
      <w:r>
        <w:rPr>
          <w:rFonts w:ascii="Times New Roman" w:hAnsi="Times New Roman" w:hint="default"/>
          <w:rtl w:val="0"/>
          <w:lang w:val="de-DE"/>
        </w:rPr>
        <w:t xml:space="preserve">‘ </w:t>
      </w:r>
      <w:r>
        <w:rPr>
          <w:rFonts w:ascii="Times New Roman" w:hAnsi="Times New Roman"/>
          <w:rtl w:val="0"/>
          <w:lang w:val="de-DE"/>
        </w:rPr>
        <w:t xml:space="preserve">of the human thorax built from the patients who passed through those hospitals. Consequently, if that patient population is not demographically diverse, neither is the </w:t>
      </w:r>
      <w:r>
        <w:rPr>
          <w:rFonts w:ascii="Times New Roman" w:hAnsi="Times New Roman" w:hint="default"/>
          <w:rtl w:val="0"/>
          <w:lang w:val="de-DE"/>
        </w:rPr>
        <w:t>‚</w:t>
      </w:r>
      <w:r>
        <w:rPr>
          <w:rFonts w:ascii="Times New Roman" w:hAnsi="Times New Roman"/>
          <w:rtl w:val="0"/>
          <w:lang w:val="de-DE"/>
        </w:rPr>
        <w:t>understanding</w:t>
      </w:r>
      <w:r>
        <w:rPr>
          <w:rFonts w:ascii="Times New Roman" w:hAnsi="Times New Roman" w:hint="default"/>
          <w:rtl w:val="0"/>
          <w:lang w:val="de-DE"/>
        </w:rPr>
        <w:t>‘</w:t>
      </w:r>
      <w:r>
        <w:rPr>
          <w:rFonts w:ascii="Times New Roman" w:hAnsi="Times New Roman"/>
          <w:rtl w:val="0"/>
          <w:lang w:val="de-DE"/>
        </w:rPr>
        <w:t>.</w:t>
      </w:r>
    </w:p>
    <w:p>
      <w:pPr>
        <w:pStyle w:val="Standard"/>
        <w:suppressAutoHyphens w:val="1"/>
        <w:spacing w:before="0" w:line="360" w:lineRule="auto"/>
        <w:rPr>
          <w:rFonts w:ascii="Times New Roman" w:cs="Times New Roman" w:hAnsi="Times New Roman" w:eastAsia="Times New Roman"/>
        </w:rPr>
      </w:pP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de-DE"/>
        </w:rPr>
        <w:t>Sch</w:t>
      </w:r>
      <w:r>
        <w:rPr>
          <w:rFonts w:ascii="Times New Roman" w:hAnsi="Times New Roman" w:hint="default"/>
          <w:rtl w:val="0"/>
          <w:lang w:val="sv-SE"/>
        </w:rPr>
        <w:t>ö</w:t>
      </w:r>
      <w:r>
        <w:rPr>
          <w:rFonts w:ascii="Times New Roman" w:hAnsi="Times New Roman"/>
          <w:rtl w:val="0"/>
          <w:lang w:val="en-US"/>
        </w:rPr>
        <w:t>n and colleagues (2022) make the content of this theory visible</w:t>
      </w:r>
      <w:r>
        <w:rPr>
          <w:rFonts w:ascii="Times New Roman" w:hAnsi="Times New Roman"/>
          <w:rtl w:val="0"/>
          <w:lang w:val="de-DE"/>
        </w:rPr>
        <w:t>.</w:t>
      </w:r>
      <w:r>
        <w:rPr>
          <w:rFonts w:ascii="Times New Roman" w:hAnsi="Times New Roman"/>
          <w:rtl w:val="0"/>
          <w:lang w:val="en-US"/>
        </w:rPr>
        <w:t xml:space="preserve"> They trained two types of generative models</w:t>
      </w:r>
      <w:r>
        <w:rPr>
          <w:rFonts w:ascii="Times New Roman" w:hAnsi="Times New Roman"/>
          <w:rtl w:val="0"/>
          <w:lang w:val="de-DE"/>
        </w:rPr>
        <w:t>:</w:t>
      </w:r>
      <w:r>
        <w:rPr>
          <w:rFonts w:ascii="Times New Roman" w:hAnsi="Times New Roman"/>
          <w:rtl w:val="0"/>
          <w:lang w:val="en-US"/>
        </w:rPr>
        <w:t xml:space="preserve"> a GAN (Generative Adversarial Network, which learns to produce realistic images by having two networks compete against each other) and a VAE (Variational Autoencoder, which learns a compressed representation by encoding and then reconstructing images)</w:t>
      </w:r>
      <w:r>
        <w:rPr>
          <w:rFonts w:ascii="Times New Roman" w:hAnsi="Times New Roman"/>
          <w:rtl w:val="0"/>
          <w:lang w:val="de-DE"/>
        </w:rPr>
        <w:t>. They used the LIDC-IDRI dataset, which is a large collection of thoracic CT scans from seven academic medical centres and eight imaging companies to train the models.</w:t>
      </w:r>
      <w:r>
        <w:rPr>
          <w:rFonts w:ascii="Times New Roman" w:cs="Times New Roman" w:hAnsi="Times New Roman" w:eastAsia="Times New Roman"/>
          <w:vertAlign w:val="superscript"/>
          <w:lang w:val="de-DE"/>
        </w:rPr>
        <w:footnoteReference w:id="8"/>
      </w: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en-US"/>
        </w:rPr>
        <w:t>To examine what the models had actually learned,</w:t>
      </w:r>
      <w:r>
        <w:rPr>
          <w:rFonts w:ascii="Times New Roman" w:hAnsi="Times New Roman"/>
          <w:rtl w:val="0"/>
          <w:lang w:val="de-DE"/>
        </w:rPr>
        <w:t xml:space="preserve"> they</w:t>
      </w:r>
      <w:r>
        <w:rPr>
          <w:rFonts w:ascii="Times New Roman" w:hAnsi="Times New Roman"/>
          <w:rtl w:val="0"/>
          <w:lang w:val="en-US"/>
        </w:rPr>
        <w:t xml:space="preserve"> used a method developed by Voynov and Babenko (2020). </w:t>
      </w:r>
      <w:r>
        <w:rPr>
          <w:rFonts w:ascii="Times New Roman" w:cs="Times New Roman" w:hAnsi="Times New Roman" w:eastAsia="Times New Roman"/>
          <w:vertAlign w:val="superscript"/>
          <w:lang w:val="en-US"/>
        </w:rPr>
        <w:footnoteReference w:id="9"/>
      </w:r>
      <w:r>
        <w:rPr>
          <w:rFonts w:ascii="Times New Roman" w:hAnsi="Times New Roman"/>
          <w:rtl w:val="0"/>
          <w:lang w:val="de-DE"/>
        </w:rPr>
        <w:t xml:space="preserve"> </w:t>
      </w:r>
      <w:r>
        <w:rPr>
          <w:rFonts w:ascii="Times New Roman" w:hAnsi="Times New Roman"/>
          <w:rtl w:val="0"/>
          <w:lang w:val="en-US"/>
        </w:rPr>
        <w:t xml:space="preserve">The idea behind it is fairly </w:t>
      </w:r>
      <w:r>
        <w:rPr>
          <w:rFonts w:ascii="Times New Roman" w:hAnsi="Times New Roman"/>
          <w:rtl w:val="0"/>
          <w:lang w:val="de-DE"/>
        </w:rPr>
        <w:t>simple</w:t>
      </w:r>
      <w:r>
        <w:rPr>
          <w:rFonts w:ascii="Times New Roman" w:hAnsi="Times New Roman"/>
          <w:rtl w:val="0"/>
          <w:lang w:val="en-US"/>
        </w:rPr>
        <w:t>: if moving along a specific direction in the latent space causes the generated image to change in a consistent and recognisable way</w:t>
      </w:r>
      <w:r>
        <w:rPr>
          <w:rFonts w:ascii="Times New Roman" w:hAnsi="Times New Roman"/>
          <w:rtl w:val="0"/>
          <w:lang w:val="de-DE"/>
        </w:rPr>
        <w:t>, like</w:t>
      </w:r>
      <w:r>
        <w:rPr>
          <w:rFonts w:ascii="Times New Roman" w:hAnsi="Times New Roman"/>
          <w:rtl w:val="0"/>
          <w:lang w:val="en-US"/>
        </w:rPr>
        <w:t xml:space="preserve"> for example the lung appearing larger or </w:t>
      </w:r>
      <w:r>
        <w:rPr>
          <w:rFonts w:ascii="Times New Roman" w:hAnsi="Times New Roman"/>
          <w:rtl w:val="0"/>
          <w:lang w:val="de-DE"/>
        </w:rPr>
        <w:t xml:space="preserve">smaller or </w:t>
      </w:r>
      <w:r>
        <w:rPr>
          <w:rFonts w:ascii="Times New Roman" w:hAnsi="Times New Roman"/>
          <w:rtl w:val="0"/>
          <w:lang w:val="en-US"/>
        </w:rPr>
        <w:t>the patient appearing rotated</w:t>
      </w:r>
      <w:r>
        <w:rPr>
          <w:rFonts w:ascii="Times New Roman" w:hAnsi="Times New Roman"/>
          <w:rtl w:val="0"/>
          <w:lang w:val="de-DE"/>
        </w:rPr>
        <w:t>,</w:t>
      </w:r>
      <w:r>
        <w:rPr>
          <w:rFonts w:ascii="Times New Roman" w:hAnsi="Times New Roman"/>
          <w:rtl w:val="0"/>
          <w:lang w:val="en-US"/>
        </w:rPr>
        <w:t xml:space="preserve"> then that direction encodes something meaningful. </w:t>
      </w:r>
      <w:r>
        <w:rPr>
          <w:rFonts w:ascii="Times New Roman" w:hAnsi="Times New Roman"/>
          <w:rtl w:val="0"/>
          <w:lang w:val="de-DE"/>
        </w:rPr>
        <w:t>The d</w:t>
      </w:r>
      <w:r>
        <w:rPr>
          <w:rFonts w:ascii="Times New Roman" w:hAnsi="Times New Roman"/>
          <w:rtl w:val="0"/>
          <w:lang w:val="en-US"/>
        </w:rPr>
        <w:t>irections that produce only noise or random changes are discarded</w:t>
      </w:r>
      <w:r>
        <w:rPr>
          <w:rFonts w:ascii="Times New Roman" w:hAnsi="Times New Roman"/>
          <w:rtl w:val="0"/>
          <w:lang w:val="de-DE"/>
        </w:rPr>
        <w:t>, so that</w:t>
      </w:r>
      <w:r>
        <w:rPr>
          <w:rFonts w:ascii="Times New Roman" w:hAnsi="Times New Roman"/>
          <w:rtl w:val="0"/>
          <w:lang w:val="en-US"/>
        </w:rPr>
        <w:t xml:space="preserve"> the method figures out which directions are meaningful purely from what the images look like.</w:t>
      </w:r>
      <w:r>
        <w:rPr>
          <w:rFonts w:ascii="Times New Roman" w:hAnsi="Times New Roman"/>
          <w:rtl w:val="0"/>
          <w:lang w:val="de-DE"/>
        </w:rPr>
        <w:t xml:space="preserve"> Apparently, </w:t>
      </w:r>
      <w:r>
        <w:rPr>
          <w:rFonts w:ascii="Times New Roman" w:hAnsi="Times New Roman"/>
          <w:rtl w:val="0"/>
          <w:lang w:val="en-US"/>
        </w:rPr>
        <w:t>no radiologist needs to label anything in advance</w:t>
      </w:r>
      <w:r>
        <w:rPr>
          <w:rFonts w:ascii="Times New Roman" w:hAnsi="Times New Roman"/>
          <w:rtl w:val="0"/>
          <w:lang w:val="de-DE"/>
        </w:rPr>
        <w:t xml:space="preserve"> and this is a purely mathematical, geometrical to be exact, identification of consistency and recognizability within the latent spaces.</w:t>
      </w:r>
      <w:r>
        <w:rPr>
          <w:rFonts w:ascii="Times New Roman" w:cs="Times New Roman" w:hAnsi="Times New Roman" w:eastAsia="Times New Roman"/>
          <w:vertAlign w:val="superscript"/>
          <w:lang w:val="de-DE"/>
        </w:rPr>
        <w:footnoteReference w:id="10"/>
      </w:r>
    </w:p>
    <w:p>
      <w:pPr>
        <w:pStyle w:val="Standard"/>
        <w:suppressAutoHyphens w:val="1"/>
        <w:spacing w:before="0" w:line="360" w:lineRule="auto"/>
        <w:rPr>
          <w:rFonts w:ascii="Times New Roman" w:cs="Times New Roman" w:hAnsi="Times New Roman" w:eastAsia="Times New Roman"/>
          <w:lang w:val="de-DE"/>
        </w:rPr>
      </w:pPr>
      <w:r>
        <w:rPr>
          <w:rFonts w:ascii="Times New Roman" w:hAnsi="Times New Roman"/>
          <w:rtl w:val="0"/>
          <w:lang w:val="de-DE"/>
        </w:rPr>
        <w:t>The result across those both model GAN and VAE was the same eight interpretable directions: width, height, size, rotation, y-position, thickness, breast size and z-position. These eight directions are the fundamental language of the model for the human thorax and the model</w:t>
      </w:r>
      <w:r>
        <w:rPr>
          <w:rFonts w:ascii="Times New Roman" w:hAnsi="Times New Roman" w:hint="default"/>
          <w:rtl w:val="0"/>
          <w:lang w:val="de-DE"/>
        </w:rPr>
        <w:t>’</w:t>
      </w:r>
      <w:r>
        <w:rPr>
          <w:rFonts w:ascii="Times New Roman" w:hAnsi="Times New Roman"/>
          <w:rtl w:val="0"/>
          <w:lang w:val="de-DE"/>
        </w:rPr>
        <w:t>s entire definition of its parts. Everything that can be meaningfully distinguished and described by the model regarding human thoraxes can then be interpreted as points along these eight directions, mathematically called axes. Whatever cannot be found along them cannot be processed by the model adequately. Looking at the Sch</w:t>
      </w:r>
      <w:r>
        <w:rPr>
          <w:rFonts w:ascii="Times New Roman" w:hAnsi="Times New Roman" w:hint="default"/>
          <w:rtl w:val="0"/>
          <w:lang w:val="de-DE"/>
        </w:rPr>
        <w:t>ö</w:t>
      </w:r>
      <w:r>
        <w:rPr>
          <w:rFonts w:ascii="Times New Roman" w:hAnsi="Times New Roman"/>
          <w:rtl w:val="0"/>
          <w:lang w:val="de-DE"/>
        </w:rPr>
        <w:t>n and colleagues example, it was the LIDC-IDRI patient population dataset that the models learned from and thus built their axises upon. The demographic composition of the LIDC-IDRI dataset, however, is unknown, as it was not documented by the researchers around Sch</w:t>
      </w:r>
      <w:r>
        <w:rPr>
          <w:rFonts w:ascii="Times New Roman" w:hAnsi="Times New Roman" w:hint="default"/>
          <w:rtl w:val="0"/>
          <w:lang w:val="de-DE"/>
        </w:rPr>
        <w:t>ö</w:t>
      </w:r>
      <w:r>
        <w:rPr>
          <w:rFonts w:ascii="Times New Roman" w:hAnsi="Times New Roman"/>
          <w:rtl w:val="0"/>
          <w:lang w:val="de-DE"/>
        </w:rPr>
        <w:t>n, so unfortunately it is not known who those patients were, where they came from, and what their bodies looked like.</w:t>
      </w:r>
      <w:r>
        <w:rPr>
          <w:rFonts w:ascii="Times New Roman" w:cs="Times New Roman" w:hAnsi="Times New Roman" w:eastAsia="Times New Roman"/>
          <w:vertAlign w:val="superscript"/>
          <w:lang w:val="de-DE"/>
        </w:rPr>
        <w:footnoteReference w:id="11"/>
      </w:r>
    </w:p>
    <w:p>
      <w:pPr>
        <w:pStyle w:val="Standard"/>
        <w:suppressAutoHyphens w:val="1"/>
        <w:spacing w:before="0" w:line="360" w:lineRule="auto"/>
        <w:rPr>
          <w:rFonts w:ascii="Times New Roman" w:cs="Times New Roman" w:hAnsi="Times New Roman" w:eastAsia="Times New Roman"/>
          <w:lang w:val="de-DE"/>
        </w:rPr>
      </w:pPr>
    </w:p>
    <w:p>
      <w:pPr>
        <w:pStyle w:val="Überschrift"/>
        <w:rPr>
          <w:rFonts w:ascii="Times New Roman" w:cs="Times New Roman" w:hAnsi="Times New Roman" w:eastAsia="Times New Roman"/>
          <w:sz w:val="28"/>
          <w:szCs w:val="28"/>
        </w:rPr>
      </w:pPr>
      <w:bookmarkStart w:name="_Toc1" w:id="1"/>
      <w:r>
        <w:rPr>
          <w:rFonts w:ascii="Times New Roman" w:hAnsi="Times New Roman"/>
          <w:sz w:val="28"/>
          <w:szCs w:val="28"/>
          <w:rtl w:val="0"/>
          <w:lang w:val="de-DE"/>
        </w:rPr>
        <w:t>Structural Absence and the Geometry of Exclusion</w:t>
      </w:r>
      <w:bookmarkEnd w:id="1"/>
    </w:p>
    <w:p>
      <w:pPr>
        <w:pStyle w:val="Standard"/>
        <w:suppressAutoHyphens w:val="1"/>
        <w:spacing w:before="0" w:line="360" w:lineRule="auto"/>
        <w:rPr>
          <w:rFonts w:ascii="Times New Roman" w:cs="Times New Roman" w:hAnsi="Times New Roman" w:eastAsia="Times New Roman"/>
        </w:rPr>
      </w:pPr>
      <w:r>
        <w:rPr>
          <w:rFonts w:ascii="Times New Roman" w:cs="Times New Roman" w:hAnsi="Times New Roman" w:eastAsia="Times New Roman"/>
          <w:lang w:val="en-US"/>
        </w:rPr>
        <w:br w:type="textWrapping"/>
      </w:r>
      <w:r>
        <w:rPr>
          <w:rFonts w:ascii="Times New Roman" w:hAnsi="Times New Roman"/>
          <w:rtl w:val="0"/>
          <w:lang w:val="de-DE"/>
        </w:rPr>
        <w:t xml:space="preserve">Another finding that adds to this was that their research shows that the training images do not simply disappear into the model during the learning process, but rather, each patient image kind of merges into and leaves an imprint on the latent space. As the area of the space around where that image was encoded becomes denser and more structured, it pulls generated images towards it. It may help to imagine pathways that lead you through a place that has not been walked on before. The more one path is walked, the more defined it becomes and this leads to more walkers that follow it naturally. So the training images / data are the first ones to walk this path and they define the way to navigate through until they arrive at the data point and its output. This also means, that if a population has never been in the data, there simply is no path leading towards it, so that the output of the model never travel there. Pennisi and colleagues call those pathways and their points that are being created during the training </w:t>
      </w:r>
      <w:r>
        <w:rPr>
          <w:rFonts w:ascii="Times New Roman" w:hAnsi="Times New Roman" w:hint="default"/>
          <w:rtl w:val="0"/>
          <w:lang w:val="de-DE"/>
        </w:rPr>
        <w:t>„</w:t>
      </w:r>
      <w:r>
        <w:rPr>
          <w:rFonts w:ascii="Times New Roman" w:hAnsi="Times New Roman"/>
          <w:rtl w:val="0"/>
          <w:lang w:val="de-DE"/>
        </w:rPr>
        <w:t>attractor regions</w:t>
      </w:r>
      <w:r>
        <w:rPr>
          <w:rFonts w:ascii="Times New Roman" w:hAnsi="Times New Roman" w:hint="default"/>
          <w:rtl w:val="0"/>
          <w:lang w:val="de-DE"/>
        </w:rPr>
        <w:t>“</w:t>
      </w:r>
      <w:r>
        <w:rPr>
          <w:rFonts w:ascii="Times New Roman" w:hAnsi="Times New Roman"/>
          <w:rtl w:val="0"/>
          <w:lang w:val="de-DE"/>
        </w:rPr>
        <w:t>.</w:t>
      </w:r>
      <w:r>
        <w:rPr>
          <w:rFonts w:ascii="Times New Roman" w:cs="Times New Roman" w:hAnsi="Times New Roman" w:eastAsia="Times New Roman"/>
          <w:vertAlign w:val="superscript"/>
          <w:lang w:val="de-DE"/>
        </w:rPr>
        <w:footnoteReference w:id="12"/>
      </w:r>
      <w:r>
        <w:rPr>
          <w:rFonts w:ascii="Times New Roman" w:hAnsi="Times New Roman"/>
          <w:rtl w:val="0"/>
          <w:lang w:val="de-DE"/>
        </w:rPr>
        <w:t xml:space="preserve"> Consequently, latent space end up organized not around bodies in general, but around specific patients who were in the training set; those who were not simply do not generate any pathway or region, so the space around where that body would sit stays structurally empty. When the model later processes an image of a patient whose kind of body left no attractor region behind, it has no stable path to follow and no arrival point. The latent space where that body would be encoded remains geometrically diffuse, not blocked but structurally uninhabited. </w:t>
      </w:r>
      <w:r>
        <w:rPr>
          <w:rFonts w:ascii="Times New Roman" w:hAnsi="Times New Roman"/>
          <w:rtl w:val="0"/>
          <w:lang w:val="en-US"/>
        </w:rPr>
        <w:t>When the model is later confronted with an image of a patient whose morphology left no attractor region during training, it has no learned density to draw from</w:t>
      </w:r>
      <w:r>
        <w:rPr>
          <w:rFonts w:ascii="Times New Roman" w:hAnsi="Times New Roman"/>
          <w:rtl w:val="0"/>
          <w:lang w:val="de-DE"/>
        </w:rPr>
        <w:t xml:space="preserve"> and</w:t>
      </w:r>
      <w:r>
        <w:rPr>
          <w:rFonts w:ascii="Times New Roman" w:hAnsi="Times New Roman"/>
          <w:rtl w:val="0"/>
          <w:lang w:val="en-US"/>
        </w:rPr>
        <w:t xml:space="preserve"> no convergence point toward which its internal representations can orient. Crucially, this does not manifest as an obvious failure</w:t>
      </w:r>
      <w:r>
        <w:rPr>
          <w:rFonts w:ascii="Times New Roman" w:hAnsi="Times New Roman"/>
          <w:rtl w:val="0"/>
          <w:lang w:val="de-DE"/>
        </w:rPr>
        <w:t>, as t</w:t>
      </w:r>
      <w:r>
        <w:rPr>
          <w:rFonts w:ascii="Times New Roman" w:hAnsi="Times New Roman"/>
          <w:rtl w:val="0"/>
          <w:lang w:val="en-US"/>
        </w:rPr>
        <w:t>he model continues to produce outputs but it does so from regions of its own representational space that have never been adequately learned. Confidence scores may remain high while the underlying geometry offers no reliable footing. The problem, in other words, is not that the model refuses to process certain bodies</w:t>
      </w:r>
      <w:r>
        <w:rPr>
          <w:rFonts w:ascii="Times New Roman" w:hAnsi="Times New Roman"/>
          <w:rtl w:val="0"/>
          <w:lang w:val="de-DE"/>
        </w:rPr>
        <w:t xml:space="preserve">. The problem </w:t>
      </w:r>
      <w:r>
        <w:rPr>
          <w:rFonts w:ascii="Times New Roman" w:hAnsi="Times New Roman"/>
          <w:rtl w:val="0"/>
          <w:lang w:val="en-US"/>
        </w:rPr>
        <w:t>i</w:t>
      </w:r>
      <w:r>
        <w:rPr>
          <w:rFonts w:ascii="Times New Roman" w:hAnsi="Times New Roman"/>
          <w:rtl w:val="0"/>
          <w:lang w:val="de-DE"/>
        </w:rPr>
        <w:t xml:space="preserve">s </w:t>
      </w:r>
      <w:r>
        <w:rPr>
          <w:rFonts w:ascii="Times New Roman" w:hAnsi="Times New Roman"/>
          <w:rtl w:val="0"/>
          <w:lang w:val="en-US"/>
        </w:rPr>
        <w:t xml:space="preserve">that the space through which it processes them was never structured to accommodate them in the first place. This transforms what might appear to be a quantitative limitation </w:t>
      </w:r>
      <w:r>
        <w:rPr>
          <w:rFonts w:ascii="Times New Roman" w:hAnsi="Times New Roman"/>
          <w:rtl w:val="0"/>
          <w:lang w:val="de-DE"/>
        </w:rPr>
        <w:t>in form of</w:t>
      </w:r>
      <w:r>
        <w:rPr>
          <w:rFonts w:ascii="Times New Roman" w:hAnsi="Times New Roman"/>
          <w:rtl w:val="0"/>
          <w:lang w:val="en-US"/>
        </w:rPr>
        <w:t xml:space="preserve"> insufficient data  into something more fundamental: a structural absence embedded in the model's representational architecture itself.</w:t>
      </w:r>
      <w:r>
        <w:rPr>
          <w:rFonts w:ascii="Times New Roman" w:cs="Times New Roman" w:hAnsi="Times New Roman" w:eastAsia="Times New Roman"/>
          <w:vertAlign w:val="superscript"/>
          <w:lang w:val="en-US"/>
        </w:rPr>
        <w:footnoteReference w:id="13"/>
      </w:r>
    </w:p>
    <w:p>
      <w:pPr>
        <w:pStyle w:val="Überschrift"/>
        <w:rPr>
          <w:rFonts w:ascii="Times New Roman" w:cs="Times New Roman" w:hAnsi="Times New Roman" w:eastAsia="Times New Roman"/>
          <w:sz w:val="24"/>
          <w:szCs w:val="24"/>
        </w:rPr>
      </w:pPr>
    </w:p>
    <w:p>
      <w:pPr>
        <w:pStyle w:val="Überschrift"/>
        <w:rPr>
          <w:rFonts w:ascii="Times New Roman" w:cs="Times New Roman" w:hAnsi="Times New Roman" w:eastAsia="Times New Roman"/>
          <w:sz w:val="28"/>
          <w:szCs w:val="28"/>
        </w:rPr>
      </w:pPr>
      <w:bookmarkStart w:name="_Toc2" w:id="2"/>
      <w:r>
        <w:rPr>
          <w:rFonts w:ascii="Times New Roman" w:hAnsi="Times New Roman"/>
          <w:sz w:val="28"/>
          <w:szCs w:val="28"/>
          <w:rtl w:val="0"/>
          <w:lang w:val="de-DE"/>
        </w:rPr>
        <w:t>Hermeneutical Injustice and Trust</w:t>
      </w:r>
      <w:bookmarkEnd w:id="2"/>
    </w:p>
    <w:p>
      <w:pPr>
        <w:pStyle w:val="Standard"/>
        <w:suppressAutoHyphens w:val="1"/>
        <w:spacing w:before="0" w:line="360" w:lineRule="auto"/>
        <w:rPr>
          <w:rFonts w:ascii="Times New Roman" w:cs="Times New Roman" w:hAnsi="Times New Roman" w:eastAsia="Times New Roman"/>
          <w:b w:val="1"/>
          <w:bCs w:val="1"/>
        </w:rPr>
      </w:pP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de-DE"/>
        </w:rPr>
        <w:t>This structural absence that was just described not only a technical problem, which Miranda Fricker (2007) underlines. Looking at the philosophical layer and dimensions, she introduced the the concept of hermeneutical injustice to describe a specific form of epistemic harm: the one that arises from a gap in the collective interpretive resources available to make sense of someone</w:t>
      </w:r>
      <w:r>
        <w:rPr>
          <w:rFonts w:ascii="Times New Roman" w:hAnsi="Times New Roman" w:hint="default"/>
          <w:rtl w:val="0"/>
          <w:lang w:val="de-DE"/>
        </w:rPr>
        <w:t>’</w:t>
      </w:r>
      <w:r>
        <w:rPr>
          <w:rFonts w:ascii="Times New Roman" w:hAnsi="Times New Roman"/>
          <w:rtl w:val="0"/>
          <w:lang w:val="de-DE"/>
        </w:rPr>
        <w:t>s experience, not from deliberate exclusion or individual biases.</w:t>
      </w:r>
      <w:r>
        <w:rPr>
          <w:rFonts w:ascii="Times New Roman" w:cs="Times New Roman" w:hAnsi="Times New Roman" w:eastAsia="Times New Roman"/>
          <w:vertAlign w:val="superscript"/>
          <w:lang w:val="de-DE"/>
        </w:rPr>
        <w:footnoteReference w:id="14"/>
      </w:r>
      <w:r>
        <w:rPr>
          <w:rFonts w:ascii="Times New Roman" w:hAnsi="Times New Roman"/>
          <w:rtl w:val="0"/>
          <w:lang w:val="de-DE"/>
        </w:rPr>
        <w:t xml:space="preserve"> So the injustice is structural and it exists at the level of the conceptual tools a community has at its disposal and it is not based on individual decision. Fricker originally developed this work in the context of human language and social experience, but when reading the paper, one can fiddle with unusually many relations to the situation of medical AI. The latent space, as said above, functions as a models</w:t>
      </w:r>
      <w:r>
        <w:rPr>
          <w:rFonts w:ascii="Times New Roman" w:hAnsi="Times New Roman" w:hint="default"/>
          <w:rtl w:val="0"/>
          <w:lang w:val="de-DE"/>
        </w:rPr>
        <w:t>’</w:t>
      </w:r>
      <w:r>
        <w:rPr>
          <w:rFonts w:ascii="Times New Roman" w:hAnsi="Times New Roman"/>
          <w:rtl w:val="0"/>
          <w:lang w:val="de-DE"/>
        </w:rPr>
        <w:t>s interpretative infrastructure and encodes what the model can recognize and act upon</w:t>
      </w:r>
      <w:r>
        <w:rPr>
          <w:rFonts w:ascii="Times New Roman" w:hAnsi="Times New Roman"/>
          <w:rtl w:val="0"/>
          <w:lang w:val="en-US"/>
        </w:rPr>
        <w:t>.</w:t>
      </w: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en-US"/>
        </w:rPr>
        <w:t xml:space="preserve"> Every classification system reflects the bodies that were used to build it, and the eight directions Sch</w:t>
      </w:r>
      <w:r>
        <w:rPr>
          <w:rFonts w:ascii="Times New Roman" w:hAnsi="Times New Roman" w:hint="default"/>
          <w:rtl w:val="0"/>
          <w:lang w:val="sv-SE"/>
        </w:rPr>
        <w:t>ö</w:t>
      </w:r>
      <w:r>
        <w:rPr>
          <w:rFonts w:ascii="Times New Roman" w:hAnsi="Times New Roman"/>
          <w:rtl w:val="0"/>
          <w:lang w:val="en-US"/>
        </w:rPr>
        <w:t xml:space="preserve">n and colleagues identified are no exception. Width, height, rotation, breast size </w:t>
      </w:r>
      <w:r>
        <w:rPr>
          <w:rFonts w:ascii="Times New Roman" w:hAnsi="Times New Roman"/>
          <w:rtl w:val="0"/>
          <w:lang w:val="de-DE"/>
        </w:rPr>
        <w:t>as</w:t>
      </w:r>
      <w:r>
        <w:rPr>
          <w:rFonts w:ascii="Times New Roman" w:hAnsi="Times New Roman"/>
          <w:rtl w:val="0"/>
          <w:lang w:val="en-US"/>
        </w:rPr>
        <w:t xml:space="preserve"> categories feel objective because they are geometric, but geometry does not emerge from nowhere. It was learned from specific patients, scanned in specific hospitals, at a specific point in time. Fricker argues that hermeneutical injustice occurs when the interpretive resources of an institution are structured around the experiences of some groups and not others.</w:t>
      </w:r>
      <w:r>
        <w:rPr>
          <w:rFonts w:ascii="Times New Roman" w:cs="Times New Roman" w:hAnsi="Times New Roman" w:eastAsia="Times New Roman"/>
          <w:vertAlign w:val="superscript"/>
          <w:lang w:val="en-US"/>
        </w:rPr>
        <w:footnoteReference w:id="15"/>
      </w:r>
      <w:r>
        <w:rPr>
          <w:rFonts w:ascii="Times New Roman" w:hAnsi="Times New Roman"/>
          <w:rtl w:val="0"/>
          <w:lang w:val="en-US"/>
        </w:rPr>
        <w:t xml:space="preserve"> The eight directions are precisely such a resource: a fixed vocabulary</w:t>
      </w:r>
      <w:r>
        <w:rPr>
          <w:rFonts w:ascii="Times New Roman" w:hAnsi="Times New Roman"/>
          <w:rtl w:val="0"/>
          <w:lang w:val="de-DE"/>
        </w:rPr>
        <w:t xml:space="preserve"> </w:t>
      </w:r>
      <w:r>
        <w:rPr>
          <w:rFonts w:ascii="Times New Roman" w:hAnsi="Times New Roman"/>
          <w:rtl w:val="0"/>
          <w:lang w:val="en-US"/>
        </w:rPr>
        <w:t>that carries the imprint of a particular population. A patient whose body falls outside that vocabulary is not simply harder to classify. They are, in the terms Fricker uses, rendered unintelligible</w:t>
      </w:r>
      <w:r>
        <w:rPr>
          <w:rFonts w:ascii="Times New Roman" w:hAnsi="Times New Roman"/>
          <w:rtl w:val="0"/>
          <w:lang w:val="de-DE"/>
        </w:rPr>
        <w:t>,</w:t>
      </w:r>
      <w:r>
        <w:rPr>
          <w:rFonts w:ascii="Times New Roman" w:hAnsi="Times New Roman"/>
          <w:rtl w:val="0"/>
          <w:lang w:val="en-US"/>
        </w:rPr>
        <w:t xml:space="preserve"> not because the model refuses to engage, but because the categories through which it engages were never formed around bodies like theirs.</w:t>
      </w:r>
      <w:r>
        <w:rPr>
          <w:rFonts w:ascii="Times New Roman" w:cs="Times New Roman" w:hAnsi="Times New Roman" w:eastAsia="Times New Roman"/>
          <w:lang w:val="en-US"/>
        </w:rPr>
        <w:br w:type="textWrapping"/>
      </w:r>
      <w:r>
        <w:rPr>
          <w:rFonts w:ascii="Times New Roman" w:hAnsi="Times New Roman"/>
          <w:rtl w:val="0"/>
          <w:lang w:val="de-DE"/>
        </w:rPr>
        <w:t>In medical AI models, the hermeneutical gap does not stay confined to the model</w:t>
      </w:r>
      <w:r>
        <w:rPr>
          <w:rFonts w:ascii="Times New Roman" w:hAnsi="Times New Roman" w:hint="default"/>
          <w:rtl w:val="0"/>
          <w:lang w:val="de-DE"/>
        </w:rPr>
        <w:t>’</w:t>
      </w:r>
      <w:r>
        <w:rPr>
          <w:rFonts w:ascii="Times New Roman" w:hAnsi="Times New Roman"/>
          <w:rtl w:val="0"/>
          <w:lang w:val="de-DE"/>
        </w:rPr>
        <w:t>s architecture, for example when it enters a clinical infrastructure through the workflows that adopt the tool, the training that builds clinician trust in it, and the evaluation practices that rarely ask whose bodies the training data actually represented. Taking this leap to the clinical settings, it is interesting to look at what else Cross and Colleagues (2024) documented. Looking at dermatology, AI systems are used as diagnostic tools. However, systems that were trained on more lighter skin tones have shown significantly reduced performance on darker skin tones and they record a performance gap in the detection of melanoma (a type of aggressive skin cancer), which surprisingly have gone mostly unreported from published study reports and literature. In intensive care, a mortality prediction model trained on MIMIC-III, which is an open source, real-world intensive care unit dataset, demonstrated recall rates as low as 25 percent for black patients relative to the overall population.</w:t>
      </w:r>
      <w:r>
        <w:rPr>
          <w:rFonts w:ascii="Times New Roman" w:cs="Times New Roman" w:hAnsi="Times New Roman" w:eastAsia="Times New Roman"/>
          <w:vertAlign w:val="superscript"/>
          <w:lang w:val="de-DE"/>
        </w:rPr>
        <w:footnoteReference w:id="16"/>
      </w:r>
      <w:r>
        <w:rPr>
          <w:rFonts w:ascii="Times New Roman" w:hAnsi="Times New Roman"/>
          <w:rtl w:val="0"/>
          <w:lang w:val="de-DE"/>
        </w:rPr>
        <w:t xml:space="preserve"> This figure does not indicate a technical failure in the conventional sense as the model simply was operating within the parameters its training had established and its limitation was structural in the composition of the data set.</w:t>
      </w:r>
    </w:p>
    <w:p>
      <w:pPr>
        <w:pStyle w:val="Standard"/>
        <w:suppressAutoHyphens w:val="1"/>
        <w:spacing w:before="0" w:line="360" w:lineRule="auto"/>
        <w:rPr>
          <w:rFonts w:ascii="Times New Roman" w:cs="Times New Roman" w:hAnsi="Times New Roman" w:eastAsia="Times New Roman"/>
        </w:rPr>
      </w:pPr>
    </w:p>
    <w:p>
      <w:pPr>
        <w:pStyle w:val="Überschrift"/>
        <w:rPr>
          <w:rFonts w:ascii="Times New Roman" w:cs="Times New Roman" w:hAnsi="Times New Roman" w:eastAsia="Times New Roman"/>
          <w:sz w:val="28"/>
          <w:szCs w:val="28"/>
        </w:rPr>
      </w:pPr>
      <w:bookmarkStart w:name="_Toc3" w:id="3"/>
      <w:r>
        <w:rPr>
          <w:rFonts w:ascii="Times New Roman" w:hAnsi="Times New Roman"/>
          <w:sz w:val="28"/>
          <w:szCs w:val="28"/>
          <w:rtl w:val="0"/>
          <w:lang w:val="de-DE"/>
        </w:rPr>
        <w:t>Clinical Deployment</w:t>
      </w:r>
      <w:bookmarkEnd w:id="3"/>
    </w:p>
    <w:p>
      <w:pPr>
        <w:pStyle w:val="Standard"/>
        <w:suppressAutoHyphens w:val="1"/>
        <w:spacing w:before="0" w:line="360" w:lineRule="auto"/>
        <w:rPr>
          <w:rFonts w:ascii="Times New Roman" w:cs="Times New Roman" w:hAnsi="Times New Roman" w:eastAsia="Times New Roman"/>
        </w:rPr>
      </w:pPr>
      <w:r>
        <w:rPr>
          <w:rFonts w:ascii="Times New Roman" w:cs="Times New Roman" w:hAnsi="Times New Roman" w:eastAsia="Times New Roman"/>
          <w:lang w:val="en-US"/>
        </w:rPr>
        <w:br w:type="textWrapping"/>
      </w:r>
      <w:r>
        <w:rPr>
          <w:rFonts w:ascii="Times New Roman" w:hAnsi="Times New Roman"/>
          <w:rtl w:val="0"/>
          <w:lang w:val="en-US"/>
        </w:rPr>
        <w:t>Cross and colleagues (2024) propose a taxonomy of bias distributed across the entire AI development pipeline, demonstrating that no single corrective intervention is sufficient. At the data level, imbalanced sample sizes systematically overrepresent certain demographic groups, while Social Determinants of Health</w:t>
      </w:r>
      <w:r>
        <w:rPr>
          <w:rFonts w:ascii="Times New Roman" w:hAnsi="Times New Roman"/>
          <w:rtl w:val="0"/>
          <w:lang w:val="de-DE"/>
        </w:rPr>
        <w:t xml:space="preserve">, speaking of </w:t>
      </w:r>
      <w:r>
        <w:rPr>
          <w:rFonts w:ascii="Times New Roman" w:hAnsi="Times New Roman"/>
          <w:rtl w:val="0"/>
          <w:lang w:val="en-US"/>
        </w:rPr>
        <w:t>factors including housing stability, income, and healthcare access</w:t>
      </w:r>
      <w:r>
        <w:rPr>
          <w:rFonts w:ascii="Times New Roman" w:hAnsi="Times New Roman"/>
          <w:rtl w:val="0"/>
          <w:lang w:val="de-DE"/>
        </w:rPr>
        <w:t xml:space="preserve">, </w:t>
      </w:r>
      <w:r>
        <w:rPr>
          <w:rFonts w:ascii="Times New Roman" w:hAnsi="Times New Roman"/>
          <w:rtl w:val="0"/>
          <w:lang w:val="en-US"/>
        </w:rPr>
        <w:t>remain largely absent from clinical datasets despite their predictive significance. Race has also been operationalised as a direct input variable in clinical algorithms, as the eGFR case illustrates, treating a socially constructed category as a biological proxy.</w:t>
      </w:r>
      <w:r>
        <w:rPr>
          <w:rFonts w:ascii="Times New Roman" w:cs="Times New Roman" w:hAnsi="Times New Roman" w:eastAsia="Times New Roman"/>
          <w:lang w:val="en-US"/>
        </w:rPr>
        <w:br w:type="textWrapping"/>
      </w:r>
      <w:r>
        <w:rPr>
          <w:rFonts w:ascii="Times New Roman" w:hAnsi="Times New Roman"/>
          <w:rtl w:val="0"/>
          <w:lang w:val="en-US"/>
        </w:rPr>
        <w:t>At the evaluation stage, a common problem is the overreliance on aggregate performance metrics. The most widely used is the AUC (Area Under the Receiver Operating Characteristic Curve), which measures how well a model distinguishes between positive and negative cases across the full study cohort</w:t>
      </w:r>
      <w:r>
        <w:rPr>
          <w:rFonts w:ascii="Times New Roman" w:hAnsi="Times New Roman"/>
          <w:rtl w:val="0"/>
          <w:lang w:val="de-DE"/>
        </w:rPr>
        <w:t>.</w:t>
      </w:r>
      <w:r>
        <w:rPr>
          <w:rFonts w:ascii="Times New Roman" w:hAnsi="Times New Roman"/>
          <w:rtl w:val="0"/>
          <w:lang w:val="en-US"/>
        </w:rPr>
        <w:t xml:space="preserve"> A model can score well on AUC while producing unreliable predictions for underrepresented subgroups </w:t>
      </w:r>
      <w:r>
        <w:rPr>
          <w:rFonts w:ascii="Times New Roman" w:hAnsi="Times New Roman"/>
          <w:rtl w:val="0"/>
          <w:lang w:val="de-DE"/>
        </w:rPr>
        <w:t>as</w:t>
      </w:r>
      <w:r>
        <w:rPr>
          <w:rFonts w:ascii="Times New Roman" w:hAnsi="Times New Roman"/>
          <w:rtl w:val="0"/>
          <w:lang w:val="en-US"/>
        </w:rPr>
        <w:t xml:space="preserve"> the disparity simply does not show up in the headline figure</w:t>
      </w:r>
      <w:r>
        <w:rPr>
          <w:rFonts w:ascii="Times New Roman" w:hAnsi="Times New Roman"/>
          <w:rtl w:val="0"/>
          <w:lang w:val="de-DE"/>
        </w:rPr>
        <w:t>. That disparity there will not appear in the headline figure. Geographic concentration in the literature supports this further, because half of clinical AI studies draw on data sets from the US and China, which again raises the question on how broadly the findings can actually be applied.</w:t>
      </w:r>
      <w:r>
        <w:rPr>
          <w:rFonts w:ascii="Times New Roman" w:cs="Times New Roman" w:hAnsi="Times New Roman" w:eastAsia="Times New Roman"/>
          <w:vertAlign w:val="superscript"/>
          <w:lang w:val="de-DE"/>
        </w:rPr>
        <w:footnoteReference w:id="17"/>
      </w:r>
    </w:p>
    <w:p>
      <w:pPr>
        <w:pStyle w:val="Standard"/>
        <w:suppressAutoHyphens w:val="1"/>
        <w:spacing w:before="0" w:line="360" w:lineRule="auto"/>
        <w:rPr>
          <w:rFonts w:ascii="Times New Roman" w:cs="Times New Roman" w:hAnsi="Times New Roman" w:eastAsia="Times New Roman"/>
          <w:lang w:val="de-DE"/>
        </w:rPr>
      </w:pPr>
      <w:r>
        <w:rPr>
          <w:rFonts w:ascii="Times New Roman" w:hAnsi="Times New Roman"/>
          <w:rtl w:val="0"/>
          <w:lang w:val="de-DE"/>
        </w:rPr>
        <w:t>These evaluation stage limitations do not remain theoretical. The Epic Sepsis Model is a good example of what happened in the implementation stage of models when those limitations remain unadressed. It is a widely adopted clinical tool designed to predict sepsis (a life threatening systemic response of the body to infection that requires immediate intervention) onset in hospitalized patients. When independently evaluated, the model performed considerably worse than its internal validation suggested and its predicted benefit was not distributed equally across patient population, so it is a case where bias was to visible until the model was already embedded in clinical practice.</w:t>
      </w:r>
      <w:r>
        <w:rPr>
          <w:rFonts w:ascii="Times New Roman" w:cs="Times New Roman" w:hAnsi="Times New Roman" w:eastAsia="Times New Roman"/>
          <w:vertAlign w:val="superscript"/>
          <w:lang w:val="de-DE"/>
        </w:rPr>
        <w:footnoteReference w:id="18"/>
      </w: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de-DE"/>
        </w:rPr>
        <w:t>At the point of clinical use, the structural problems encoded encoded into a models architecture translate directly into clinical decisions. It is interesting to look at Reverberi and colleagues (2022) found, when they looked at endoscopists evaluating colorectal lesions diagnoses with and without AI assistance. In the study involving 21 endoscopists participants were asked to evaluate the same set of 504 lesions both with and without AI assistanance.</w:t>
      </w:r>
      <w:r>
        <w:rPr>
          <w:rFonts w:ascii="Times New Roman" w:cs="Times New Roman" w:hAnsi="Times New Roman" w:eastAsia="Times New Roman"/>
          <w:vertAlign w:val="superscript"/>
          <w:lang w:val="de-DE"/>
        </w:rPr>
        <w:footnoteReference w:id="19"/>
      </w:r>
      <w:r>
        <w:rPr>
          <w:rFonts w:ascii="Times New Roman" w:hAnsi="Times New Roman"/>
          <w:rtl w:val="0"/>
          <w:lang w:val="de-DE"/>
        </w:rPr>
        <w:t xml:space="preserve"> Then they used a logistic regression model to calculate the value </w:t>
      </w:r>
      <w:r>
        <w:rPr>
          <w:rFonts w:ascii="Times New Roman" w:hAnsi="Times New Roman" w:hint="default"/>
          <w:rtl w:val="0"/>
          <w:lang w:val="en-US"/>
        </w:rPr>
        <w:t>ω</w:t>
      </w:r>
      <w:r>
        <w:rPr>
          <w:rFonts w:ascii="Times New Roman" w:hAnsi="Times New Roman"/>
          <w:rtl w:val="0"/>
          <w:lang w:val="en-US"/>
        </w:rPr>
        <w:t>_I</w:t>
      </w:r>
      <w:r>
        <w:rPr>
          <w:rFonts w:ascii="Times New Roman" w:hAnsi="Times New Roman"/>
          <w:rtl w:val="0"/>
          <w:lang w:val="de-DE"/>
        </w:rPr>
        <w:t xml:space="preserve"> as an odds ratio measuring the degree to which the endoscopists</w:t>
      </w:r>
      <w:r>
        <w:rPr>
          <w:rFonts w:ascii="Times New Roman" w:hAnsi="Times New Roman" w:hint="default"/>
          <w:rtl w:val="0"/>
          <w:lang w:val="de-DE"/>
        </w:rPr>
        <w:t xml:space="preserve">’ </w:t>
      </w:r>
      <w:r>
        <w:rPr>
          <w:rFonts w:ascii="Times New Roman" w:hAnsi="Times New Roman"/>
          <w:rtl w:val="0"/>
          <w:lang w:val="de-DE"/>
        </w:rPr>
        <w:t xml:space="preserve">diagnosies converged towards the AI recommendations, if it was present. AI exerted a substantial, measurable influence on the final judgement, which they quantify as an influence weight of </w:t>
      </w:r>
      <w:r>
        <w:rPr>
          <w:rFonts w:ascii="Times New Roman" w:hAnsi="Times New Roman" w:hint="default"/>
          <w:u w:color="ee220c"/>
          <w:rtl w:val="0"/>
          <w:lang w:val="en-US"/>
        </w:rPr>
        <w:t>ω</w:t>
      </w:r>
      <w:r>
        <w:rPr>
          <w:rFonts w:ascii="Times New Roman" w:hAnsi="Times New Roman"/>
          <w:u w:color="ee220c"/>
          <w:rtl w:val="0"/>
          <w:lang w:val="en-US"/>
        </w:rPr>
        <w:t>_I =</w:t>
      </w:r>
      <w:r>
        <w:rPr>
          <w:rFonts w:ascii="Times New Roman" w:hAnsi="Times New Roman"/>
          <w:outline w:val="0"/>
          <w:color w:val="ee220c"/>
          <w:u w:color="ee220c"/>
          <w:rtl w:val="0"/>
          <w:lang w:val="en-US"/>
          <w14:textFill>
            <w14:solidFill>
              <w14:srgbClr w14:val="EE220C"/>
            </w14:solidFill>
          </w14:textFill>
        </w:rPr>
        <w:t xml:space="preserve"> </w:t>
      </w:r>
      <w:r>
        <w:rPr>
          <w:rFonts w:ascii="Times New Roman" w:hAnsi="Times New Roman"/>
          <w:u w:color="ee220c"/>
          <w:rtl w:val="0"/>
          <w:lang w:val="en-US"/>
        </w:rPr>
        <w:t>3.05</w:t>
      </w:r>
      <w:r>
        <w:rPr>
          <w:rFonts w:ascii="Times New Roman" w:hAnsi="Times New Roman"/>
          <w:u w:color="ee220c"/>
          <w:rtl w:val="0"/>
          <w:lang w:val="de-DE"/>
        </w:rPr>
        <w:t>. For understanding,</w:t>
      </w:r>
      <w:r>
        <w:rPr>
          <w:rFonts w:ascii="Times New Roman" w:hAnsi="Times New Roman"/>
          <w:outline w:val="0"/>
          <w:color w:val="ee220c"/>
          <w:u w:color="ee220c"/>
          <w:rtl w:val="0"/>
          <w:lang w:val="de-DE"/>
          <w14:textFill>
            <w14:solidFill>
              <w14:srgbClr w14:val="EE220C"/>
            </w14:solidFill>
          </w14:textFill>
        </w:rPr>
        <w:t xml:space="preserve"> </w:t>
      </w:r>
      <w:r>
        <w:rPr>
          <w:rFonts w:ascii="Times New Roman" w:hAnsi="Times New Roman" w:hint="default"/>
          <w:rtl w:val="0"/>
          <w:lang w:val="en-US"/>
        </w:rPr>
        <w:t>ω</w:t>
      </w:r>
      <w:r>
        <w:rPr>
          <w:rFonts w:ascii="Times New Roman" w:hAnsi="Times New Roman"/>
          <w:rtl w:val="0"/>
          <w:lang w:val="en-US"/>
        </w:rPr>
        <w:t>_I = 1</w:t>
      </w:r>
      <w:r>
        <w:rPr>
          <w:rFonts w:ascii="Times New Roman" w:hAnsi="Times New Roman"/>
          <w:rtl w:val="0"/>
          <w:lang w:val="de-DE"/>
        </w:rPr>
        <w:t xml:space="preserve"> would mean that</w:t>
      </w:r>
      <w:r>
        <w:rPr>
          <w:rFonts w:ascii="Times New Roman" w:hAnsi="Times New Roman"/>
          <w:rtl w:val="0"/>
          <w:lang w:val="en-US"/>
        </w:rPr>
        <w:t xml:space="preserve"> the endoscopist's diagnosis in the AI-assisted session is no more likely to align with the AI than it was in the unassisted session</w:t>
      </w:r>
      <w:r>
        <w:rPr>
          <w:rFonts w:ascii="Times New Roman" w:hAnsi="Times New Roman"/>
          <w:rtl w:val="0"/>
          <w:lang w:val="de-DE"/>
        </w:rPr>
        <w:t xml:space="preserve">, thus </w:t>
      </w:r>
      <w:r>
        <w:rPr>
          <w:rFonts w:ascii="Times New Roman" w:hAnsi="Times New Roman"/>
          <w:rtl w:val="0"/>
          <w:lang w:val="en-US"/>
        </w:rPr>
        <w:t xml:space="preserve">meaning </w:t>
      </w:r>
      <w:r>
        <w:rPr>
          <w:rFonts w:ascii="Times New Roman" w:hAnsi="Times New Roman"/>
          <w:rtl w:val="0"/>
          <w:lang w:val="de-DE"/>
        </w:rPr>
        <w:t xml:space="preserve">that </w:t>
      </w:r>
      <w:r>
        <w:rPr>
          <w:rFonts w:ascii="Times New Roman" w:hAnsi="Times New Roman"/>
          <w:rtl w:val="0"/>
          <w:lang w:val="en-US"/>
        </w:rPr>
        <w:t>the AI had no influence at all on the decision</w:t>
      </w:r>
      <w:r>
        <w:rPr>
          <w:rFonts w:ascii="Times New Roman" w:hAnsi="Times New Roman"/>
          <w:rtl w:val="0"/>
          <w:lang w:val="de-DE"/>
        </w:rPr>
        <w:t xml:space="preserve"> and everything above 1 indicates a convergence toward the AI input.</w:t>
      </w:r>
      <w:r>
        <w:rPr>
          <w:rFonts w:ascii="Times New Roman" w:hAnsi="Times New Roman"/>
          <w:outline w:val="0"/>
          <w:color w:val="ee220c"/>
          <w:u w:color="ee220c"/>
          <w:rtl w:val="0"/>
          <w:lang w:val="de-DE"/>
          <w14:textFill>
            <w14:solidFill>
              <w14:srgbClr w14:val="EE220C"/>
            </w14:solidFill>
          </w14:textFill>
        </w:rPr>
        <w:t xml:space="preserve"> </w:t>
      </w:r>
      <w:r>
        <w:rPr>
          <w:rFonts w:ascii="Times New Roman" w:hAnsi="Times New Roman"/>
          <w:u w:color="ee220c"/>
          <w:rtl w:val="0"/>
          <w:lang w:val="de-DE"/>
        </w:rPr>
        <w:t xml:space="preserve"> So the result of 3.05 means that the endoscopists weighted the AI recommendation three times more heavily than their own independent judgement. T</w:t>
      </w:r>
      <w:r>
        <w:rPr>
          <w:rFonts w:ascii="Times New Roman" w:hAnsi="Times New Roman"/>
          <w:rtl w:val="0"/>
          <w:lang w:val="en-US"/>
        </w:rPr>
        <w:t>he AI recommendation functioned almost as a second, heavily weighted opinion</w:t>
      </w:r>
      <w:r>
        <w:rPr>
          <w:rFonts w:ascii="Times New Roman" w:hAnsi="Times New Roman"/>
          <w:rtl w:val="0"/>
          <w:lang w:val="de-DE"/>
        </w:rPr>
        <w:t>. So heavily, that physicians seemingly shifted their assessment even when pathologists believed they were reasoning independently. This is important to note because it shows how the models that are trained with with biased data consequently produce content and results that influence a physician</w:t>
      </w:r>
      <w:r>
        <w:rPr>
          <w:rFonts w:ascii="Times New Roman" w:hAnsi="Times New Roman" w:hint="default"/>
          <w:rtl w:val="0"/>
          <w:lang w:val="de-DE"/>
        </w:rPr>
        <w:t>’</w:t>
      </w:r>
      <w:r>
        <w:rPr>
          <w:rFonts w:ascii="Times New Roman" w:hAnsi="Times New Roman"/>
          <w:rtl w:val="0"/>
          <w:lang w:val="de-DE"/>
        </w:rPr>
        <w:t>s decision, as they make there way through the mechanisms of human AI interactions. And especially that way is extremely difficult to correct due to the dynamic Jacobs and colleagues identified: once the trust in the AI systems is established at the point of deployment, the application follows uniformly across all patients, regardless of whether the model performs equally well for all of them.</w:t>
      </w:r>
      <w:r>
        <w:rPr>
          <w:rFonts w:ascii="Times New Roman" w:cs="Times New Roman" w:hAnsi="Times New Roman" w:eastAsia="Times New Roman"/>
          <w:vertAlign w:val="superscript"/>
          <w:lang w:val="de-DE"/>
        </w:rPr>
        <w:footnoteReference w:id="20"/>
      </w:r>
      <w:r>
        <w:rPr>
          <w:rFonts w:ascii="Times New Roman" w:hAnsi="Times New Roman"/>
          <w:rtl w:val="0"/>
          <w:lang w:val="de-DE"/>
        </w:rPr>
        <w:t xml:space="preserve"> </w:t>
      </w:r>
      <w:r>
        <w:rPr>
          <w:rFonts w:ascii="Times New Roman" w:hAnsi="Times New Roman"/>
          <w:rtl w:val="0"/>
          <w:lang w:val="en-US"/>
        </w:rPr>
        <w:t>A clinician who has learned through experience or training that a given model is reliable will extend that trust to every patient it is used for, including those for whom the model's representational space offers no reliable footing. The performance disparities that originate in the geometry of the latent space are thereby absorbed into clinical practice, laundered through trust, and made structurally invisible.</w:t>
      </w:r>
    </w:p>
    <w:p>
      <w:pPr>
        <w:pStyle w:val="Standard"/>
        <w:suppressAutoHyphens w:val="1"/>
        <w:spacing w:before="0" w:line="360" w:lineRule="auto"/>
        <w:rPr>
          <w:rFonts w:ascii="Times New Roman" w:cs="Times New Roman" w:hAnsi="Times New Roman" w:eastAsia="Times New Roman"/>
        </w:rPr>
      </w:pPr>
    </w:p>
    <w:p>
      <w:pPr>
        <w:pStyle w:val="Überschrift"/>
        <w:rPr>
          <w:rFonts w:ascii="Times New Roman" w:cs="Times New Roman" w:hAnsi="Times New Roman" w:eastAsia="Times New Roman"/>
          <w:sz w:val="24"/>
          <w:szCs w:val="24"/>
        </w:rPr>
      </w:pPr>
      <w:bookmarkStart w:name="_Toc4" w:id="4"/>
      <w:r>
        <w:rPr>
          <w:rFonts w:ascii="Times New Roman" w:hAnsi="Times New Roman"/>
          <w:sz w:val="24"/>
          <w:szCs w:val="24"/>
          <w:rtl w:val="0"/>
        </w:rPr>
        <w:t>C</w:t>
      </w:r>
      <w:r>
        <w:rPr>
          <w:rFonts w:ascii="Times New Roman" w:hAnsi="Times New Roman"/>
          <w:sz w:val="24"/>
          <w:szCs w:val="24"/>
          <w:rtl w:val="0"/>
          <w:lang w:val="de-DE"/>
        </w:rPr>
        <w:t>onclusion</w:t>
      </w:r>
      <w:bookmarkEnd w:id="4"/>
    </w:p>
    <w:p>
      <w:pPr>
        <w:pStyle w:val="Text A"/>
      </w:pPr>
    </w:p>
    <w:p>
      <w:pPr>
        <w:pStyle w:val="Standard"/>
        <w:suppressAutoHyphens w:val="1"/>
        <w:spacing w:before="0" w:line="360" w:lineRule="auto"/>
        <w:rPr>
          <w:rFonts w:ascii="Times New Roman" w:cs="Times New Roman" w:hAnsi="Times New Roman" w:eastAsia="Times New Roman"/>
        </w:rPr>
      </w:pPr>
      <w:r>
        <w:rPr>
          <w:rFonts w:ascii="Times New Roman" w:hAnsi="Times New Roman"/>
          <w:rtl w:val="0"/>
          <w:lang w:val="de-DE"/>
        </w:rPr>
        <w:t xml:space="preserve">Looking back at the beginning of this essay, the Glomerus Filtration rate calculator assigned black people higher kidney function scores on the parameter race, which delayed access to transplant list for some. The formula has been revised, but as an example for Digital Health and AI use in the medical field it shows how technical instruments built with clinical intentions can encode assumptions that produce unequal outcomes at scale and those outcomes can go unquestioned precisely because they are embedded in a trusted tool. </w:t>
      </w:r>
      <w:r>
        <w:rPr>
          <w:rFonts w:ascii="Times New Roman" w:hAnsi="Times New Roman"/>
          <w:rtl w:val="0"/>
          <w:lang w:val="en-US"/>
        </w:rPr>
        <w:t xml:space="preserve">Medical AI is no different in this regard. The preceding sections have traced how the problem originates in the geometry of the latent space </w:t>
      </w:r>
      <w:r>
        <w:rPr>
          <w:rFonts w:ascii="Times New Roman" w:hAnsi="Times New Roman"/>
          <w:rtl w:val="0"/>
          <w:lang w:val="de-DE"/>
        </w:rPr>
        <w:t>and</w:t>
      </w:r>
      <w:r>
        <w:rPr>
          <w:rFonts w:ascii="Times New Roman" w:hAnsi="Times New Roman"/>
          <w:rtl w:val="0"/>
          <w:lang w:val="en-US"/>
        </w:rPr>
        <w:t xml:space="preserve"> a representational structure shaped by the specific bodies in the training data, organised around attractor regions and learned directions, and simply uninhabited where those bodies were absent. This is not a marginal technical detail. As Fricker (2007) and Jenkins (2017) help clarify, a model's latent space functions as a hermeneutical resource, and it carries the imprint of the population it came from. Those outside that population are not blocked</w:t>
      </w:r>
      <w:r>
        <w:rPr>
          <w:rFonts w:ascii="Times New Roman" w:hAnsi="Times New Roman"/>
          <w:rtl w:val="0"/>
          <w:lang w:val="de-DE"/>
        </w:rPr>
        <w:t>, but</w:t>
      </w:r>
      <w:r>
        <w:rPr>
          <w:rFonts w:ascii="Times New Roman" w:hAnsi="Times New Roman"/>
          <w:rtl w:val="0"/>
          <w:lang w:val="en-US"/>
        </w:rPr>
        <w:t xml:space="preserve"> they are processed through categories that were never built around them, which is a subtler and more persistent problem. </w:t>
      </w:r>
      <w:r>
        <w:rPr>
          <w:rFonts w:ascii="Times New Roman" w:hAnsi="Times New Roman"/>
          <w:rtl w:val="0"/>
          <w:lang w:val="de-DE"/>
        </w:rPr>
        <w:t xml:space="preserve"> The literature shows </w:t>
      </w:r>
      <w:r>
        <w:rPr>
          <w:rFonts w:ascii="Times New Roman" w:hAnsi="Times New Roman"/>
          <w:rtl w:val="0"/>
          <w:lang w:val="en-US"/>
        </w:rPr>
        <w:t>where this leads in practice: biased outputs enter clinical decisions, AI recommendations carry disproportionate weight, and uniform trust is extended to a system that does not perform uniformly.</w:t>
      </w:r>
    </w:p>
    <w:p>
      <w:pPr>
        <w:pStyle w:val="Standard"/>
        <w:suppressAutoHyphens w:val="1"/>
        <w:spacing w:before="0" w:after="240" w:line="360" w:lineRule="auto"/>
      </w:pPr>
      <w:r>
        <w:rPr>
          <w:rFonts w:ascii="Times New Roman" w:hAnsi="Times New Roman"/>
          <w:rtl w:val="0"/>
          <w:lang w:val="en-US"/>
        </w:rPr>
        <w:t>Understanding this is not an argument against medical AI</w:t>
      </w:r>
      <w:r>
        <w:rPr>
          <w:rFonts w:ascii="Times New Roman" w:hAnsi="Times New Roman"/>
          <w:rtl w:val="0"/>
          <w:lang w:val="de-DE"/>
        </w:rPr>
        <w:t>, but rather</w:t>
      </w:r>
      <w:r>
        <w:rPr>
          <w:rFonts w:ascii="Times New Roman" w:hAnsi="Times New Roman"/>
          <w:rtl w:val="0"/>
          <w:lang w:val="en-US"/>
        </w:rPr>
        <w:t xml:space="preserve"> an argument for taking it seriously enough to build it better. What that requires is demographic transparency in dataset documentation, mandatory subgroup analysis in evaluation, and data collection practices that genuinely include the populations most affected. The latent space</w:t>
      </w:r>
      <w:r>
        <w:rPr>
          <w:rFonts w:ascii="Times New Roman" w:hAnsi="Times New Roman"/>
          <w:rtl w:val="0"/>
          <w:lang w:val="de-DE"/>
        </w:rPr>
        <w:t xml:space="preserve"> can only speak for all of us if it has been built from all of us, which requires training data that is as diverse as we humans are and especially as diverse as the patients population the model is supposed to serve. I see this not only as an ethical demand but a mathematical one, since AI models simply generalize what it has seen.</w:t>
      </w:r>
      <w:r>
        <w:rPr>
          <w:rFonts w:ascii="Times New Roman" w:hAnsi="Times New Roman"/>
          <w:rtl w:val="0"/>
          <w:lang w:val="en-US"/>
        </w:rPr>
        <w:t xml:space="preserve"> </w:t>
      </w:r>
      <w:r>
        <w:rPr>
          <w:rFonts w:ascii="Times New Roman" w:hAnsi="Times New Roman"/>
          <w:rtl w:val="0"/>
          <w:lang w:val="de-DE"/>
        </w:rPr>
        <w:t xml:space="preserve"> </w:t>
      </w:r>
      <w:r>
        <w:rPr>
          <w:rFonts w:ascii="Arial Unicode MS" w:cs="Arial Unicode MS" w:hAnsi="Arial Unicode MS" w:eastAsia="Arial Unicode MS"/>
          <w:b w:val="0"/>
          <w:bCs w:val="0"/>
          <w:i w:val="0"/>
          <w:iCs w:val="0"/>
        </w:rPr>
        <w:br w:type="page"/>
      </w:r>
    </w:p>
    <w:p>
      <w:pPr>
        <w:pStyle w:val="Überschrift"/>
        <w:rPr>
          <w:rFonts w:ascii="Times New Roman" w:cs="Times New Roman" w:hAnsi="Times New Roman" w:eastAsia="Times New Roman"/>
          <w:sz w:val="24"/>
          <w:szCs w:val="24"/>
        </w:rPr>
      </w:pPr>
      <w:bookmarkStart w:name="_Toc5" w:id="5"/>
      <w:r>
        <w:rPr>
          <w:rFonts w:ascii="Times New Roman" w:hAnsi="Times New Roman"/>
          <w:sz w:val="24"/>
          <w:szCs w:val="24"/>
          <w:rtl w:val="0"/>
          <w:lang w:val="de-DE"/>
        </w:rPr>
        <w:t>Bibliography</w:t>
      </w:r>
      <w:bookmarkEnd w:id="5"/>
    </w:p>
    <w:p>
      <w:pPr>
        <w:pStyle w:val="Text A"/>
      </w:pP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Chen, Chen, Kerstin Hammernik, Cheng Ouyang, Chen Qin, Wenjia Bai, and Daniel Rueckert. "Cooperative Training and Latent Space Data Augmentation for Robust Medical Image Segmentation." arXiv:2107.01079 (2021).</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Crawford, Kate, and Trevor Paglen. "Excavating AI: The Politics of Images in Machine Learning Training Sets." </w:t>
      </w:r>
      <w:r>
        <w:rPr>
          <w:rFonts w:ascii="Times New Roman" w:hAnsi="Times New Roman"/>
          <w:i w:val="1"/>
          <w:iCs w:val="1"/>
          <w:rtl w:val="0"/>
          <w:lang w:val="en-US"/>
        </w:rPr>
        <w:t>AI &amp; Society</w:t>
      </w:r>
      <w:r>
        <w:rPr>
          <w:rFonts w:ascii="Times New Roman" w:hAnsi="Times New Roman"/>
          <w:rtl w:val="0"/>
          <w:lang w:val="en-US"/>
        </w:rPr>
        <w:t xml:space="preserve"> 36 (2021): 1105</w:t>
      </w:r>
      <w:r>
        <w:rPr>
          <w:rFonts w:ascii="Times New Roman" w:hAnsi="Times New Roman" w:hint="default"/>
          <w:rtl w:val="0"/>
          <w:lang w:val="en-US"/>
        </w:rPr>
        <w:t>–</w:t>
      </w:r>
      <w:r>
        <w:rPr>
          <w:rFonts w:ascii="Times New Roman" w:hAnsi="Times New Roman"/>
          <w:rtl w:val="0"/>
          <w:lang w:val="en-US"/>
        </w:rPr>
        <w:t>1116.</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Cross, James L., Michael A. Choma, and John A. Onofrey. "Bias in Medical AI: Implications for Clinical Decision-Making." </w:t>
      </w:r>
      <w:r>
        <w:rPr>
          <w:rFonts w:ascii="Times New Roman" w:hAnsi="Times New Roman"/>
          <w:i w:val="1"/>
          <w:iCs w:val="1"/>
          <w:rtl w:val="0"/>
          <w:lang w:val="en-US"/>
        </w:rPr>
        <w:t>PLOS Digital Health</w:t>
      </w:r>
      <w:r>
        <w:rPr>
          <w:rFonts w:ascii="Times New Roman" w:hAnsi="Times New Roman"/>
          <w:rtl w:val="0"/>
          <w:lang w:val="en-US"/>
        </w:rPr>
        <w:t xml:space="preserve"> 3, no. 11 (2024): e0000651.</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Fricker, Miranda. </w:t>
      </w:r>
      <w:r>
        <w:rPr>
          <w:rFonts w:ascii="Times New Roman" w:hAnsi="Times New Roman"/>
          <w:i w:val="1"/>
          <w:iCs w:val="1"/>
          <w:rtl w:val="0"/>
          <w:lang w:val="en-US"/>
        </w:rPr>
        <w:t>Epistemic Injustice: Power and the Ethics of Knowing.</w:t>
      </w:r>
      <w:r>
        <w:rPr>
          <w:rFonts w:ascii="Times New Roman" w:hAnsi="Times New Roman"/>
          <w:rtl w:val="0"/>
          <w:lang w:val="en-US"/>
        </w:rPr>
        <w:t xml:space="preserve"> Oxford: Oxford University Press, 2007.</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Fricker, Miranda, and Katharine Jenkins. "Epistemic Injustice, Ignorance, and Trans Experience." In </w:t>
      </w:r>
      <w:r>
        <w:rPr>
          <w:rFonts w:ascii="Times New Roman" w:hAnsi="Times New Roman"/>
          <w:i w:val="1"/>
          <w:iCs w:val="1"/>
          <w:rtl w:val="0"/>
          <w:lang w:val="en-US"/>
        </w:rPr>
        <w:t>The Routledge Companion to Feminist Philosophy,</w:t>
      </w:r>
      <w:r>
        <w:rPr>
          <w:rFonts w:ascii="Times New Roman" w:hAnsi="Times New Roman"/>
          <w:rtl w:val="0"/>
          <w:lang w:val="en-US"/>
        </w:rPr>
        <w:t xml:space="preserve"> edited by Ann Garry, Serene J. Khader, and Alison Stone, 268</w:t>
      </w:r>
      <w:r>
        <w:rPr>
          <w:rFonts w:ascii="Times New Roman" w:hAnsi="Times New Roman" w:hint="default"/>
          <w:rtl w:val="0"/>
          <w:lang w:val="en-US"/>
        </w:rPr>
        <w:t>–</w:t>
      </w:r>
      <w:r>
        <w:rPr>
          <w:rFonts w:ascii="Times New Roman" w:hAnsi="Times New Roman"/>
          <w:rtl w:val="0"/>
          <w:lang w:val="en-US"/>
        </w:rPr>
        <w:t>278. New York: Routledge, 2017.</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Jacobs, Maia, Nanna Inie, Gabriel Haas, and Irina Shklovski. "Designing AI for Trust and Collaboration in Time-Constrained Medical Decisions: A Sociotechnical Lens." In </w:t>
      </w:r>
      <w:r>
        <w:rPr>
          <w:rFonts w:ascii="Times New Roman" w:hAnsi="Times New Roman"/>
          <w:i w:val="1"/>
          <w:iCs w:val="1"/>
          <w:rtl w:val="0"/>
          <w:lang w:val="en-US"/>
        </w:rPr>
        <w:t>Proceedings of the 2021 CHI Conference on Human Factors in Computing Systems,</w:t>
      </w:r>
      <w:r>
        <w:rPr>
          <w:rFonts w:ascii="Times New Roman" w:hAnsi="Times New Roman"/>
          <w:rtl w:val="0"/>
          <w:lang w:val="en-US"/>
        </w:rPr>
        <w:t xml:space="preserve"> Article 725. New York: ACM, 2021.</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Pennisi, Matteo, Luca Guarnera, Oliver Giudice, Alessandro Ortis, and Sebastiano Battiato. "A Privacy-Preserving Walk in the Latent Space of Generative Models for Medical Applications." arXiv:2307.02984 (2023).</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Raley, Rita, and Jennifer Rhee. "Critical AI: A Field in Formation." </w:t>
      </w:r>
      <w:r>
        <w:rPr>
          <w:rFonts w:ascii="Times New Roman" w:hAnsi="Times New Roman"/>
          <w:i w:val="1"/>
          <w:iCs w:val="1"/>
          <w:rtl w:val="0"/>
          <w:lang w:val="en-US"/>
        </w:rPr>
        <w:t>American Literature</w:t>
      </w:r>
      <w:r>
        <w:rPr>
          <w:rFonts w:ascii="Times New Roman" w:hAnsi="Times New Roman"/>
          <w:rtl w:val="0"/>
          <w:lang w:val="en-US"/>
        </w:rPr>
        <w:t xml:space="preserve"> 95, no. 2 (2023): 185</w:t>
      </w:r>
      <w:r>
        <w:rPr>
          <w:rFonts w:ascii="Times New Roman" w:hAnsi="Times New Roman" w:hint="default"/>
          <w:rtl w:val="0"/>
          <w:lang w:val="en-US"/>
        </w:rPr>
        <w:t>–</w:t>
      </w:r>
      <w:r>
        <w:rPr>
          <w:rFonts w:ascii="Times New Roman" w:hAnsi="Times New Roman"/>
          <w:rtl w:val="0"/>
          <w:lang w:val="en-US"/>
        </w:rPr>
        <w:t>204.</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Reverberi, Carlo, Giulio Airoldi, Bettina Haefner, and John-Dylan Haynes. "Experimental Evidence of Effective Human-AI Collaboration in Medical Decision-Making." </w:t>
      </w:r>
      <w:r>
        <w:rPr>
          <w:rFonts w:ascii="Times New Roman" w:hAnsi="Times New Roman"/>
          <w:i w:val="1"/>
          <w:iCs w:val="1"/>
          <w:rtl w:val="0"/>
          <w:lang w:val="en-US"/>
        </w:rPr>
        <w:t>Scientific Reports</w:t>
      </w:r>
      <w:r>
        <w:rPr>
          <w:rFonts w:ascii="Times New Roman" w:hAnsi="Times New Roman"/>
          <w:rtl w:val="0"/>
          <w:lang w:val="en-US"/>
        </w:rPr>
        <w:t xml:space="preserve"> 12 (2022): 14952.</w:t>
      </w:r>
    </w:p>
    <w:p>
      <w:pPr>
        <w:pStyle w:val="Standard"/>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Sch</w:t>
      </w:r>
      <w:r>
        <w:rPr>
          <w:rFonts w:ascii="Times New Roman" w:hAnsi="Times New Roman" w:hint="default"/>
          <w:rtl w:val="0"/>
          <w:lang w:val="en-US"/>
        </w:rPr>
        <w:t>ö</w:t>
      </w:r>
      <w:r>
        <w:rPr>
          <w:rFonts w:ascii="Times New Roman" w:hAnsi="Times New Roman"/>
          <w:rtl w:val="0"/>
          <w:lang w:val="en-US"/>
        </w:rPr>
        <w:t>n, Julian, Raghavendra Selvan, and Jens Petersen. "Interpreting Latent Spaces of Generative Models for Medical Images Using Unsupervised Methods." arXiv:2207.09740 (2022).</w:t>
      </w:r>
    </w:p>
    <w:p>
      <w:pPr>
        <w:pStyle w:val="Standard"/>
        <w:suppressAutoHyphens w:val="1"/>
        <w:spacing w:before="0" w:after="240" w:line="240" w:lineRule="auto"/>
        <w:sectPr>
          <w:headerReference w:type="default" r:id="rId4"/>
          <w:footerReference w:type="default" r:id="rId5"/>
          <w:pgSz w:w="11900" w:h="16840" w:orient="portrait"/>
          <w:pgMar w:top="1417" w:right="1417" w:bottom="1417" w:left="1417" w:header="1417" w:footer="1417"/>
          <w:bidi w:val="0"/>
        </w:sectPr>
      </w:pPr>
      <w:r>
        <w:rPr>
          <w:rFonts w:ascii="Times New Roman" w:hAnsi="Times New Roman"/>
          <w:rtl w:val="0"/>
          <w:lang w:val="en-US"/>
        </w:rPr>
        <w:t>Somaini, Antonio. "A Theory of Latent Spaces."pp. 21-51</w:t>
      </w:r>
    </w:p>
    <w:p>
      <w:pPr>
        <w:pStyle w:val="Überschrift"/>
        <w:rPr>
          <w:rFonts w:ascii="Times New Roman" w:cs="Times New Roman" w:hAnsi="Times New Roman" w:eastAsia="Times New Roman"/>
          <w:sz w:val="28"/>
          <w:szCs w:val="28"/>
        </w:rPr>
      </w:pPr>
      <w:bookmarkStart w:name="_Toc6" w:id="6"/>
      <w:r>
        <w:rPr>
          <w:rFonts w:ascii="Times New Roman" w:hAnsi="Times New Roman"/>
          <w:sz w:val="28"/>
          <w:szCs w:val="28"/>
          <w:rtl w:val="0"/>
          <w:lang w:val="de-DE"/>
        </w:rPr>
        <w:t>Eigenst</w:t>
      </w:r>
      <w:r>
        <w:rPr>
          <w:rFonts w:ascii="Times New Roman" w:hAnsi="Times New Roman" w:hint="default"/>
          <w:sz w:val="28"/>
          <w:szCs w:val="28"/>
          <w:rtl w:val="0"/>
        </w:rPr>
        <w:t>ä</w:t>
      </w:r>
      <w:r>
        <w:rPr>
          <w:rFonts w:ascii="Times New Roman" w:hAnsi="Times New Roman"/>
          <w:sz w:val="28"/>
          <w:szCs w:val="28"/>
          <w:rtl w:val="0"/>
          <w:lang w:val="de-DE"/>
        </w:rPr>
        <w:t>ndigkeitserkl</w:t>
      </w:r>
      <w:r>
        <w:rPr>
          <w:rFonts w:ascii="Times New Roman" w:hAnsi="Times New Roman" w:hint="default"/>
          <w:sz w:val="28"/>
          <w:szCs w:val="28"/>
          <w:rtl w:val="0"/>
        </w:rPr>
        <w:t>ä</w:t>
      </w:r>
      <w:r>
        <w:rPr>
          <w:rFonts w:ascii="Times New Roman" w:hAnsi="Times New Roman"/>
          <w:sz w:val="28"/>
          <w:szCs w:val="28"/>
          <w:rtl w:val="0"/>
          <w:lang w:val="de-DE"/>
        </w:rPr>
        <w:t>rung</w:t>
      </w:r>
      <w:bookmarkEnd w:id="6"/>
    </w:p>
    <w:p>
      <w:pPr>
        <w:pStyle w:val="Text A"/>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Hiermit versichere ich, dass ich die Arbeit </w:t>
      </w:r>
      <w:r>
        <w:rPr>
          <w:rFonts w:ascii="Times New Roman" w:hAnsi="Times New Roman" w:hint="default"/>
          <w:rtl w:val="0"/>
          <w:lang w:val="en-US"/>
        </w:rPr>
        <w:t xml:space="preserve">– </w:t>
      </w:r>
      <w:r>
        <w:rPr>
          <w:rFonts w:ascii="Times New Roman" w:hAnsi="Times New Roman"/>
          <w:rtl w:val="0"/>
          <w:lang w:val="en-US"/>
        </w:rPr>
        <w:t>bei einer Gruppenarbeit den entsprechend</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gekennzeichneten Teil der Arbeit </w:t>
      </w:r>
      <w:r>
        <w:rPr>
          <w:rFonts w:ascii="Times New Roman" w:hAnsi="Times New Roman" w:hint="default"/>
          <w:rtl w:val="0"/>
          <w:lang w:val="en-US"/>
        </w:rPr>
        <w:t xml:space="preserve">– </w:t>
      </w:r>
      <w:r>
        <w:rPr>
          <w:rFonts w:ascii="Times New Roman" w:hAnsi="Times New Roman"/>
          <w:rtl w:val="0"/>
          <w:lang w:val="en-US"/>
        </w:rPr>
        <w:t>selbstst</w:t>
      </w:r>
      <w:r>
        <w:rPr>
          <w:rFonts w:ascii="Times New Roman" w:hAnsi="Times New Roman" w:hint="default"/>
          <w:rtl w:val="0"/>
          <w:lang w:val="en-US"/>
        </w:rPr>
        <w:t>ä</w:t>
      </w:r>
      <w:r>
        <w:rPr>
          <w:rFonts w:ascii="Times New Roman" w:hAnsi="Times New Roman"/>
          <w:rtl w:val="0"/>
          <w:lang w:val="en-US"/>
        </w:rPr>
        <w:t>ndig verfasst und keine anderen als die angegebenen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Quellen und Hilfsmittel benutzt habe. Alle Stellen, die ich wortw</w:t>
      </w:r>
      <w:r>
        <w:rPr>
          <w:rFonts w:ascii="Times New Roman" w:hAnsi="Times New Roman" w:hint="default"/>
          <w:rtl w:val="0"/>
          <w:lang w:val="en-US"/>
        </w:rPr>
        <w:t>ö</w:t>
      </w:r>
      <w:r>
        <w:rPr>
          <w:rFonts w:ascii="Times New Roman" w:hAnsi="Times New Roman"/>
          <w:rtl w:val="0"/>
          <w:lang w:val="en-US"/>
        </w:rPr>
        <w:t>rtlich oder sinngem</w:t>
      </w:r>
      <w:r>
        <w:rPr>
          <w:rFonts w:ascii="Times New Roman" w:hAnsi="Times New Roman" w:hint="default"/>
          <w:rtl w:val="0"/>
          <w:lang w:val="en-US"/>
        </w:rPr>
        <w:t xml:space="preserve">äß </w:t>
      </w:r>
      <w:r>
        <w:rPr>
          <w:rFonts w:ascii="Times New Roman" w:hAnsi="Times New Roman"/>
          <w:rtl w:val="0"/>
          <w:lang w:val="en-US"/>
        </w:rPr>
        <w:t>aus</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fremden Werken entnommen habe, habe ich als solche kenntlich gemacht. Die Arbeit habe ich in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gleicher oder </w:t>
      </w:r>
      <w:r>
        <w:rPr>
          <w:rFonts w:ascii="Times New Roman" w:hAnsi="Times New Roman" w:hint="default"/>
          <w:rtl w:val="0"/>
          <w:lang w:val="en-US"/>
        </w:rPr>
        <w:t>ä</w:t>
      </w:r>
      <w:r>
        <w:rPr>
          <w:rFonts w:ascii="Times New Roman" w:hAnsi="Times New Roman"/>
          <w:rtl w:val="0"/>
          <w:lang w:val="en-US"/>
        </w:rPr>
        <w:t>hnlicher Form noch keiner Pr</w:t>
      </w:r>
      <w:r>
        <w:rPr>
          <w:rFonts w:ascii="Times New Roman" w:hAnsi="Times New Roman" w:hint="default"/>
          <w:rtl w:val="0"/>
          <w:lang w:val="en-US"/>
        </w:rPr>
        <w:t>ü</w:t>
      </w:r>
      <w:r>
        <w:rPr>
          <w:rFonts w:ascii="Times New Roman" w:hAnsi="Times New Roman"/>
          <w:rtl w:val="0"/>
          <w:lang w:val="en-US"/>
        </w:rPr>
        <w:t>fungsbeh</w:t>
      </w:r>
      <w:r>
        <w:rPr>
          <w:rFonts w:ascii="Times New Roman" w:hAnsi="Times New Roman" w:hint="default"/>
          <w:rtl w:val="0"/>
          <w:lang w:val="en-US"/>
        </w:rPr>
        <w:t>ö</w:t>
      </w:r>
      <w:r>
        <w:rPr>
          <w:rFonts w:ascii="Times New Roman" w:hAnsi="Times New Roman"/>
          <w:rtl w:val="0"/>
          <w:lang w:val="en-US"/>
        </w:rPr>
        <w:t>rde vorgelegt.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page">
              <wp:posOffset>893444</wp:posOffset>
            </wp:positionH>
            <wp:positionV relativeFrom="line">
              <wp:posOffset>214067</wp:posOffset>
            </wp:positionV>
            <wp:extent cx="1260344" cy="748594"/>
            <wp:effectExtent l="0" t="0" r="0" b="0"/>
            <wp:wrapThrough wrapText="bothSides" distL="152400" distR="152400">
              <wp:wrapPolygon edited="1">
                <wp:start x="2174" y="122"/>
                <wp:lineTo x="2247" y="139"/>
                <wp:lineTo x="2537" y="488"/>
                <wp:lineTo x="2247" y="488"/>
                <wp:lineTo x="2247" y="1464"/>
                <wp:lineTo x="2537" y="488"/>
                <wp:lineTo x="2247" y="139"/>
                <wp:lineTo x="2682" y="244"/>
                <wp:lineTo x="2537" y="1464"/>
                <wp:lineTo x="2030" y="2197"/>
                <wp:lineTo x="1667" y="3539"/>
                <wp:lineTo x="1160" y="3295"/>
                <wp:lineTo x="1740" y="3051"/>
                <wp:lineTo x="1885" y="2197"/>
                <wp:lineTo x="290" y="2441"/>
                <wp:lineTo x="580" y="2075"/>
                <wp:lineTo x="1957" y="1831"/>
                <wp:lineTo x="2174" y="122"/>
                <wp:lineTo x="5581" y="122"/>
                <wp:lineTo x="5581" y="732"/>
                <wp:lineTo x="5581" y="2319"/>
                <wp:lineTo x="5074" y="3295"/>
                <wp:lineTo x="4711" y="3295"/>
                <wp:lineTo x="4856" y="2929"/>
                <wp:lineTo x="5364" y="2441"/>
                <wp:lineTo x="5436" y="1708"/>
                <wp:lineTo x="4711" y="1708"/>
                <wp:lineTo x="5509" y="1220"/>
                <wp:lineTo x="5581" y="732"/>
                <wp:lineTo x="5581" y="122"/>
                <wp:lineTo x="14569" y="122"/>
                <wp:lineTo x="14569" y="854"/>
                <wp:lineTo x="14569" y="2685"/>
                <wp:lineTo x="12467" y="13058"/>
                <wp:lineTo x="12902" y="13302"/>
                <wp:lineTo x="13047" y="13790"/>
                <wp:lineTo x="14062" y="13668"/>
                <wp:lineTo x="14207" y="11837"/>
                <wp:lineTo x="14642" y="12081"/>
                <wp:lineTo x="14352" y="13546"/>
                <wp:lineTo x="14134" y="14034"/>
                <wp:lineTo x="12757" y="13790"/>
                <wp:lineTo x="12612" y="13424"/>
                <wp:lineTo x="12395" y="13546"/>
                <wp:lineTo x="12177" y="14400"/>
                <wp:lineTo x="12177" y="13424"/>
                <wp:lineTo x="11380" y="15376"/>
                <wp:lineTo x="10945" y="15254"/>
                <wp:lineTo x="10800" y="13668"/>
                <wp:lineTo x="10510" y="13912"/>
                <wp:lineTo x="10003" y="15132"/>
                <wp:lineTo x="9640" y="14766"/>
                <wp:lineTo x="9640" y="13790"/>
                <wp:lineTo x="8988" y="13424"/>
                <wp:lineTo x="8553" y="13424"/>
                <wp:lineTo x="8046" y="14156"/>
                <wp:lineTo x="8118" y="13302"/>
                <wp:lineTo x="7103" y="15254"/>
                <wp:lineTo x="6813" y="16108"/>
                <wp:lineTo x="6596" y="16108"/>
                <wp:lineTo x="6596" y="13180"/>
                <wp:lineTo x="6089" y="13668"/>
                <wp:lineTo x="5509" y="13668"/>
                <wp:lineTo x="4566" y="17451"/>
                <wp:lineTo x="4784" y="17470"/>
                <wp:lineTo x="5436" y="17939"/>
                <wp:lineTo x="4784" y="17939"/>
                <wp:lineTo x="8336" y="20380"/>
                <wp:lineTo x="12395" y="20746"/>
                <wp:lineTo x="14424" y="19769"/>
                <wp:lineTo x="15221" y="18793"/>
                <wp:lineTo x="5436" y="17939"/>
                <wp:lineTo x="4784" y="17470"/>
                <wp:lineTo x="15366" y="18427"/>
                <wp:lineTo x="16091" y="17695"/>
                <wp:lineTo x="18048" y="14278"/>
                <wp:lineTo x="18048" y="10617"/>
                <wp:lineTo x="17106" y="8786"/>
                <wp:lineTo x="16019" y="8176"/>
                <wp:lineTo x="14787" y="7932"/>
                <wp:lineTo x="16599" y="8054"/>
                <wp:lineTo x="17903" y="9519"/>
                <wp:lineTo x="18411" y="11471"/>
                <wp:lineTo x="18266" y="14278"/>
                <wp:lineTo x="15874" y="18549"/>
                <wp:lineTo x="21528" y="19647"/>
                <wp:lineTo x="20150" y="19647"/>
                <wp:lineTo x="15366" y="19037"/>
                <wp:lineTo x="13627" y="20746"/>
                <wp:lineTo x="9930" y="21112"/>
                <wp:lineTo x="7683" y="20380"/>
                <wp:lineTo x="4349" y="18183"/>
                <wp:lineTo x="3044" y="21478"/>
                <wp:lineTo x="4132" y="17939"/>
                <wp:lineTo x="435" y="17207"/>
                <wp:lineTo x="435" y="16719"/>
                <wp:lineTo x="2827" y="16963"/>
                <wp:lineTo x="4349" y="17451"/>
                <wp:lineTo x="5364" y="13668"/>
                <wp:lineTo x="5509" y="12203"/>
                <wp:lineTo x="5944" y="11227"/>
                <wp:lineTo x="6161" y="9763"/>
                <wp:lineTo x="5291" y="10495"/>
                <wp:lineTo x="3117" y="10251"/>
                <wp:lineTo x="1450" y="8298"/>
                <wp:lineTo x="290" y="5369"/>
                <wp:lineTo x="72" y="3905"/>
                <wp:lineTo x="362" y="4271"/>
                <wp:lineTo x="797" y="6346"/>
                <wp:lineTo x="2392" y="9275"/>
                <wp:lineTo x="3552" y="10129"/>
                <wp:lineTo x="5581" y="10007"/>
                <wp:lineTo x="6451" y="8908"/>
                <wp:lineTo x="7828" y="1953"/>
                <wp:lineTo x="8263" y="2136"/>
                <wp:lineTo x="8263" y="2441"/>
                <wp:lineTo x="7828" y="2563"/>
                <wp:lineTo x="6813" y="8298"/>
                <wp:lineTo x="7901" y="6102"/>
                <wp:lineTo x="8263" y="4393"/>
                <wp:lineTo x="8263" y="2441"/>
                <wp:lineTo x="8263" y="2136"/>
                <wp:lineTo x="8408" y="2197"/>
                <wp:lineTo x="8263" y="5614"/>
                <wp:lineTo x="6958" y="8664"/>
                <wp:lineTo x="6523" y="9275"/>
                <wp:lineTo x="6016" y="11593"/>
                <wp:lineTo x="6741" y="11491"/>
                <wp:lineTo x="6741" y="11837"/>
                <wp:lineTo x="5944" y="11959"/>
                <wp:lineTo x="5654" y="13424"/>
                <wp:lineTo x="6596" y="12814"/>
                <wp:lineTo x="6741" y="11837"/>
                <wp:lineTo x="6741" y="11491"/>
                <wp:lineTo x="6886" y="11471"/>
                <wp:lineTo x="7031" y="12081"/>
                <wp:lineTo x="8915" y="8298"/>
                <wp:lineTo x="9713" y="5858"/>
                <wp:lineTo x="9858" y="4271"/>
                <wp:lineTo x="9858" y="5980"/>
                <wp:lineTo x="8336" y="10129"/>
                <wp:lineTo x="6958" y="12569"/>
                <wp:lineTo x="6958" y="15132"/>
                <wp:lineTo x="7973" y="12936"/>
                <wp:lineTo x="8336" y="12936"/>
                <wp:lineTo x="8408" y="13302"/>
                <wp:lineTo x="9133" y="12936"/>
                <wp:lineTo x="9205" y="13424"/>
                <wp:lineTo x="9785" y="13546"/>
                <wp:lineTo x="9858" y="14766"/>
                <wp:lineTo x="10438" y="13790"/>
                <wp:lineTo x="10510" y="13302"/>
                <wp:lineTo x="11090" y="13668"/>
                <wp:lineTo x="11307" y="15132"/>
                <wp:lineTo x="12612" y="10739"/>
                <wp:lineTo x="14569" y="854"/>
                <wp:lineTo x="14569" y="122"/>
                <wp:lineTo x="2174" y="122"/>
              </wp:wrapPolygon>
            </wp:wrapThrough>
            <wp:docPr id="1073741825" name="officeArt object" descr="eingesetzter-Film.png"/>
            <wp:cNvGraphicFramePr/>
            <a:graphic xmlns:a="http://schemas.openxmlformats.org/drawingml/2006/main">
              <a:graphicData uri="http://schemas.openxmlformats.org/drawingml/2006/picture">
                <pic:pic xmlns:pic="http://schemas.openxmlformats.org/drawingml/2006/picture">
                  <pic:nvPicPr>
                    <pic:cNvPr id="1073741825" name="eingesetzter-Film.png" descr="eingesetzter-Film.png"/>
                    <pic:cNvPicPr>
                      <a:picLocks noChangeAspect="1"/>
                    </pic:cNvPicPr>
                  </pic:nvPicPr>
                  <pic:blipFill>
                    <a:blip r:embed="rId6">
                      <a:extLst/>
                    </a:blip>
                    <a:stretch>
                      <a:fillRect/>
                    </a:stretch>
                  </pic:blipFill>
                  <pic:spPr>
                    <a:xfrm>
                      <a:off x="0" y="0"/>
                      <a:ext cx="1260344" cy="748594"/>
                    </a:xfrm>
                    <a:prstGeom prst="rect">
                      <a:avLst/>
                    </a:prstGeom>
                    <a:ln w="12700" cap="flat">
                      <a:noFill/>
                      <a:miter lim="400000"/>
                    </a:ln>
                    <a:effectLst/>
                  </pic:spPr>
                </pic:pic>
              </a:graphicData>
            </a:graphic>
          </wp:anchor>
        </w:drawing>
      </w:r>
      <w:r>
        <w:rPr>
          <w:rFonts w:ascii="Times New Roman" w:cs="Times New Roman" w:hAnsi="Times New Roman" w:eastAsia="Times New Roman"/>
        </w:rPr>
        <w:br w:type="textWrapping"/>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rPr>
      </w:pPr>
      <w:r>
        <w:rPr>
          <w:rFonts w:ascii="Times New Roman" w:cs="Times New Roman" w:hAnsi="Times New Roman" w:eastAsia="Times New Roman"/>
          <w:lang w:val="en-US"/>
        </w:rPr>
        <w:br w:type="textWrapping"/>
      </w:r>
      <w:r>
        <w:rPr>
          <w:rFonts w:ascii="Times New Roman" w:hAnsi="Times New Roman"/>
          <w:rtl w:val="0"/>
          <w:lang w:val="de-DE"/>
        </w:rPr>
        <w:t>Sarah Sophie Kruschinski</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pPr>
      <w:r>
        <w:rPr>
          <w:rFonts w:ascii="Times New Roman" w:hAnsi="Times New Roman"/>
          <w:rtl w:val="0"/>
          <w:lang w:val="de-DE"/>
        </w:rPr>
        <w:t>Hamburg, der 6.09.2026</w:t>
      </w:r>
    </w:p>
    <w:sectPr>
      <w:headerReference w:type="default" r:id="rId7"/>
      <w:pgSz w:w="11900" w:h="16840" w:orient="portrait"/>
      <w:pgMar w:top="1417" w:right="1417" w:bottom="1417" w:left="1417" w:header="1417" w:footer="141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ußnote"/>
      </w:pPr>
      <w:r>
        <w:rPr>
          <w:rFonts w:ascii="Times New Roman" w:cs="Times New Roman" w:hAnsi="Times New Roman" w:eastAsia="Times New Roman"/>
          <w:outline w:val="0"/>
          <w:color w:val="ee220c"/>
          <w:sz w:val="24"/>
          <w:szCs w:val="24"/>
          <w:u w:color="ee220c"/>
          <w:vertAlign w:val="superscript"/>
          <w:lang w:val="de-DE"/>
          <w14:textFill>
            <w14:solidFill>
              <w14:srgbClr w14:val="EE220C"/>
            </w14:solidFill>
          </w14:textFill>
        </w:rPr>
        <w:footnoteRef/>
      </w:r>
      <w:r>
        <w:rPr>
          <w:rFonts w:cs="Arial Unicode MS" w:eastAsia="Arial Unicode MS"/>
          <w:sz w:val="16"/>
          <w:szCs w:val="16"/>
          <w:rtl w:val="0"/>
          <w:lang w:val="en-US"/>
        </w:rPr>
        <w:t xml:space="preserve"> James L. Cross, Michael A. Choma, and John A. Onofrey, "Bias in Medical AI: Implications for Clinical Decision-Making," </w:t>
      </w:r>
      <w:r>
        <w:rPr>
          <w:rFonts w:cs="Arial Unicode MS" w:eastAsia="Arial Unicode MS"/>
          <w:i w:val="1"/>
          <w:iCs w:val="1"/>
          <w:sz w:val="16"/>
          <w:szCs w:val="16"/>
          <w:rtl w:val="0"/>
        </w:rPr>
        <w:t>PLOS Digital Health</w:t>
      </w:r>
      <w:r>
        <w:rPr>
          <w:rFonts w:cs="Arial Unicode MS" w:eastAsia="Arial Unicode MS"/>
          <w:sz w:val="16"/>
          <w:szCs w:val="16"/>
          <w:rtl w:val="0"/>
        </w:rPr>
        <w:t xml:space="preserve"> 3, no. 11 (2024): e0000651, 9.)</w:t>
      </w:r>
    </w:p>
  </w:footnote>
  <w:footnote w:id="2">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en-US"/>
        </w:rPr>
        <w:t xml:space="preserve"> Andre Esteva et al., "Dermatologist-Level Classification of Skin Cancer with Deep Neural Networks," </w:t>
      </w:r>
      <w:r>
        <w:rPr>
          <w:rFonts w:cs="Arial Unicode MS" w:eastAsia="Arial Unicode MS"/>
          <w:i w:val="1"/>
          <w:iCs w:val="1"/>
          <w:sz w:val="16"/>
          <w:szCs w:val="16"/>
          <w:rtl w:val="0"/>
          <w:lang w:val="fr-FR"/>
        </w:rPr>
        <w:t>Nature</w:t>
      </w:r>
      <w:r>
        <w:rPr>
          <w:rFonts w:cs="Arial Unicode MS" w:eastAsia="Arial Unicode MS"/>
          <w:sz w:val="16"/>
          <w:szCs w:val="16"/>
          <w:rtl w:val="0"/>
        </w:rPr>
        <w:t xml:space="preserve"> 542 (2017): 115</w:t>
      </w:r>
      <w:r>
        <w:rPr>
          <w:rFonts w:cs="Arial Unicode MS" w:eastAsia="Arial Unicode MS" w:hint="default"/>
          <w:sz w:val="16"/>
          <w:szCs w:val="16"/>
          <w:rtl w:val="0"/>
        </w:rPr>
        <w:t>–</w:t>
      </w:r>
      <w:r>
        <w:rPr>
          <w:rFonts w:cs="Arial Unicode MS" w:eastAsia="Arial Unicode MS"/>
          <w:sz w:val="16"/>
          <w:szCs w:val="16"/>
          <w:rtl w:val="0"/>
        </w:rPr>
        <w:t>118.</w:t>
      </w:r>
    </w:p>
  </w:footnote>
  <w:footnote w:id="3">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en-US"/>
        </w:rPr>
        <w:t xml:space="preserve"> Pranav Rajpurkar et al., "CheXNet: Radiologist-Level Pneumonia Detection on Chest X-Rays with Deep Learning," arXiv:1711.05225 (2017).</w:t>
      </w:r>
    </w:p>
  </w:footnote>
  <w:footnote w:id="4">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Rita Raley and Jennifer Rhee, "Critical AI: A Field in Formation," </w:t>
      </w:r>
      <w:r>
        <w:rPr>
          <w:rFonts w:cs="Arial Unicode MS" w:eastAsia="Arial Unicode MS"/>
          <w:i w:val="1"/>
          <w:iCs w:val="1"/>
          <w:sz w:val="16"/>
          <w:szCs w:val="16"/>
          <w:rtl w:val="0"/>
          <w:lang w:val="en-US"/>
        </w:rPr>
        <w:t>American Literature</w:t>
      </w:r>
      <w:r>
        <w:rPr>
          <w:rFonts w:cs="Arial Unicode MS" w:eastAsia="Arial Unicode MS"/>
          <w:sz w:val="16"/>
          <w:szCs w:val="16"/>
          <w:rtl w:val="0"/>
        </w:rPr>
        <w:t xml:space="preserve"> 95, no. 2 (2023): 185</w:t>
      </w:r>
      <w:r>
        <w:rPr>
          <w:rFonts w:cs="Arial Unicode MS" w:eastAsia="Arial Unicode MS" w:hint="default"/>
          <w:sz w:val="16"/>
          <w:szCs w:val="16"/>
          <w:rtl w:val="0"/>
        </w:rPr>
        <w:t>–</w:t>
      </w:r>
      <w:r>
        <w:rPr>
          <w:rFonts w:cs="Arial Unicode MS" w:eastAsia="Arial Unicode MS"/>
          <w:sz w:val="16"/>
          <w:szCs w:val="16"/>
          <w:rtl w:val="0"/>
        </w:rPr>
        <w:t>187.</w:t>
      </w:r>
    </w:p>
  </w:footnote>
  <w:footnote w:id="5">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Cross, Choma, and Onofrey, "Bias in Medical AI," 4.</w:t>
      </w:r>
    </w:p>
  </w:footnote>
  <w:footnote w:id="6">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en-US"/>
        </w:rPr>
        <w:t xml:space="preserve"> Cross, Choma, and Onofrey, "Bias in Medical AI," 4</w:t>
      </w:r>
      <w:r>
        <w:rPr>
          <w:rFonts w:cs="Arial Unicode MS" w:eastAsia="Arial Unicode MS" w:hint="default"/>
          <w:sz w:val="16"/>
          <w:szCs w:val="16"/>
          <w:rtl w:val="0"/>
        </w:rPr>
        <w:t>–</w:t>
      </w:r>
      <w:r>
        <w:rPr>
          <w:rFonts w:cs="Arial Unicode MS" w:eastAsia="Arial Unicode MS"/>
          <w:sz w:val="16"/>
          <w:szCs w:val="16"/>
          <w:rtl w:val="0"/>
        </w:rPr>
        <w:t>6.</w:t>
      </w:r>
    </w:p>
  </w:footnote>
  <w:footnote w:id="7">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Somaini, "A Theory of Latent Spaces," 21.</w:t>
      </w:r>
    </w:p>
  </w:footnote>
  <w:footnote w:id="8">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de-DE"/>
        </w:rPr>
        <w:t xml:space="preserve"> Julian Sch</w:t>
      </w:r>
      <w:r>
        <w:rPr>
          <w:rFonts w:cs="Arial Unicode MS" w:eastAsia="Arial Unicode MS" w:hint="default"/>
          <w:sz w:val="16"/>
          <w:szCs w:val="16"/>
          <w:rtl w:val="0"/>
          <w:lang w:val="sv-SE"/>
        </w:rPr>
        <w:t>ö</w:t>
      </w:r>
      <w:r>
        <w:rPr>
          <w:rFonts w:cs="Arial Unicode MS" w:eastAsia="Arial Unicode MS"/>
          <w:sz w:val="16"/>
          <w:szCs w:val="16"/>
          <w:rtl w:val="0"/>
          <w:lang w:val="en-US"/>
        </w:rPr>
        <w:t>n, Raghavendra Selvan, and Jens Petersen, "Interpreting Latent Spaces of Generative Models for Medical Images Using Unsupervised Methods," arXiv:2207.09740 (2022), 1</w:t>
      </w:r>
      <w:r>
        <w:rPr>
          <w:rFonts w:cs="Arial Unicode MS" w:eastAsia="Arial Unicode MS" w:hint="default"/>
          <w:sz w:val="16"/>
          <w:szCs w:val="16"/>
          <w:rtl w:val="0"/>
        </w:rPr>
        <w:t>–</w:t>
      </w:r>
      <w:r>
        <w:rPr>
          <w:rFonts w:cs="Arial Unicode MS" w:eastAsia="Arial Unicode MS"/>
          <w:sz w:val="16"/>
          <w:szCs w:val="16"/>
          <w:rtl w:val="0"/>
        </w:rPr>
        <w:t>3.</w:t>
      </w:r>
    </w:p>
  </w:footnote>
  <w:footnote w:id="9">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de-DE"/>
        </w:rPr>
        <w:t xml:space="preserve"> Sch</w:t>
      </w:r>
      <w:r>
        <w:rPr>
          <w:rFonts w:cs="Arial Unicode MS" w:eastAsia="Arial Unicode MS" w:hint="default"/>
          <w:sz w:val="16"/>
          <w:szCs w:val="16"/>
          <w:rtl w:val="0"/>
          <w:lang w:val="sv-SE"/>
        </w:rPr>
        <w:t>ö</w:t>
      </w:r>
      <w:r>
        <w:rPr>
          <w:rFonts w:cs="Arial Unicode MS" w:eastAsia="Arial Unicode MS"/>
          <w:sz w:val="16"/>
          <w:szCs w:val="16"/>
          <w:rtl w:val="0"/>
          <w:lang w:val="en-US"/>
        </w:rPr>
        <w:t>n, Selvan, and Petersen, "Interpreting Latent Spaces," 3</w:t>
      </w:r>
      <w:r>
        <w:rPr>
          <w:rFonts w:cs="Arial Unicode MS" w:eastAsia="Arial Unicode MS" w:hint="default"/>
          <w:sz w:val="16"/>
          <w:szCs w:val="16"/>
          <w:rtl w:val="0"/>
        </w:rPr>
        <w:t>–</w:t>
      </w:r>
      <w:r>
        <w:rPr>
          <w:rFonts w:cs="Arial Unicode MS" w:eastAsia="Arial Unicode MS"/>
          <w:sz w:val="16"/>
          <w:szCs w:val="16"/>
          <w:rtl w:val="0"/>
        </w:rPr>
        <w:t>4.</w:t>
      </w:r>
    </w:p>
  </w:footnote>
  <w:footnote w:id="10">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Andrey Voynov and Artem Babenko, "Unsupervised Discovery of Interpretable Directions in the GAN Latent Space," </w:t>
      </w:r>
      <w:r>
        <w:rPr>
          <w:rFonts w:cs="Arial Unicode MS" w:eastAsia="Arial Unicode MS"/>
          <w:i w:val="1"/>
          <w:iCs w:val="1"/>
          <w:sz w:val="16"/>
          <w:szCs w:val="16"/>
          <w:rtl w:val="0"/>
          <w:lang w:val="en-US"/>
        </w:rPr>
        <w:t>Proceedings of the 37th International Conference on Machine Learning</w:t>
      </w:r>
      <w:r>
        <w:rPr>
          <w:rFonts w:cs="Arial Unicode MS" w:eastAsia="Arial Unicode MS"/>
          <w:sz w:val="16"/>
          <w:szCs w:val="16"/>
          <w:rtl w:val="0"/>
        </w:rPr>
        <w:t xml:space="preserve"> (ICML 2020), arXiv:2002.03754 (2020).</w:t>
      </w:r>
    </w:p>
  </w:footnote>
  <w:footnote w:id="11">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de-DE"/>
        </w:rPr>
        <w:t xml:space="preserve"> Sch</w:t>
      </w:r>
      <w:r>
        <w:rPr>
          <w:rFonts w:cs="Arial Unicode MS" w:eastAsia="Arial Unicode MS" w:hint="default"/>
          <w:sz w:val="16"/>
          <w:szCs w:val="16"/>
          <w:rtl w:val="0"/>
          <w:lang w:val="sv-SE"/>
        </w:rPr>
        <w:t>ö</w:t>
      </w:r>
      <w:r>
        <w:rPr>
          <w:rFonts w:cs="Arial Unicode MS" w:eastAsia="Arial Unicode MS"/>
          <w:sz w:val="16"/>
          <w:szCs w:val="16"/>
          <w:rtl w:val="0"/>
          <w:lang w:val="en-US"/>
        </w:rPr>
        <w:t>n, Selvan, and Petersen, "Interpreting Latent Spaces," 4</w:t>
      </w:r>
      <w:r>
        <w:rPr>
          <w:rFonts w:cs="Arial Unicode MS" w:eastAsia="Arial Unicode MS" w:hint="default"/>
          <w:sz w:val="16"/>
          <w:szCs w:val="16"/>
          <w:rtl w:val="0"/>
        </w:rPr>
        <w:t>–</w:t>
      </w:r>
      <w:r>
        <w:rPr>
          <w:rFonts w:cs="Arial Unicode MS" w:eastAsia="Arial Unicode MS"/>
          <w:sz w:val="16"/>
          <w:szCs w:val="16"/>
          <w:rtl w:val="0"/>
        </w:rPr>
        <w:t>5.</w:t>
      </w:r>
    </w:p>
  </w:footnote>
  <w:footnote w:id="12">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Matteo Pennisi et al., "A Privacy-Preserving Walk in the Latent Space of Generative Models for Medical Applications," arXiv:2307.02984 (2023), 3</w:t>
      </w:r>
      <w:r>
        <w:rPr>
          <w:rFonts w:cs="Arial Unicode MS" w:eastAsia="Arial Unicode MS" w:hint="default"/>
          <w:sz w:val="16"/>
          <w:szCs w:val="16"/>
          <w:rtl w:val="0"/>
        </w:rPr>
        <w:t>–</w:t>
      </w:r>
      <w:r>
        <w:rPr>
          <w:rFonts w:cs="Arial Unicode MS" w:eastAsia="Arial Unicode MS"/>
          <w:sz w:val="16"/>
          <w:szCs w:val="16"/>
          <w:rtl w:val="0"/>
        </w:rPr>
        <w:t>6.</w:t>
      </w:r>
    </w:p>
  </w:footnote>
  <w:footnote w:id="13">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de-DE"/>
        </w:rPr>
        <w:t xml:space="preserve"> </w:t>
      </w:r>
      <w:r>
        <w:rPr>
          <w:rFonts w:cs="Arial Unicode MS" w:eastAsia="Arial Unicode MS"/>
          <w:sz w:val="16"/>
          <w:szCs w:val="16"/>
          <w:rtl w:val="0"/>
          <w:lang w:val="en-US"/>
        </w:rPr>
        <w:t>Pennisi et al., "A Privacy-Preserving Walk," 3</w:t>
      </w:r>
      <w:r>
        <w:rPr>
          <w:rFonts w:cs="Arial Unicode MS" w:eastAsia="Arial Unicode MS" w:hint="default"/>
          <w:sz w:val="16"/>
          <w:szCs w:val="16"/>
          <w:rtl w:val="0"/>
        </w:rPr>
        <w:t>–</w:t>
      </w:r>
      <w:r>
        <w:rPr>
          <w:rFonts w:cs="Arial Unicode MS" w:eastAsia="Arial Unicode MS"/>
          <w:sz w:val="16"/>
          <w:szCs w:val="16"/>
          <w:rtl w:val="0"/>
        </w:rPr>
        <w:t>6.</w:t>
      </w:r>
    </w:p>
  </w:footnote>
  <w:footnote w:id="14">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Miranda Fricker, Epistemic Injustice: Power and the Ethics of Knowing (Oxford: Oxford University Press, 2007), 147</w:t>
      </w:r>
      <w:r>
        <w:rPr>
          <w:rFonts w:cs="Arial Unicode MS" w:eastAsia="Arial Unicode MS" w:hint="default"/>
          <w:sz w:val="16"/>
          <w:szCs w:val="16"/>
          <w:rtl w:val="0"/>
        </w:rPr>
        <w:t>–</w:t>
      </w:r>
      <w:r>
        <w:rPr>
          <w:rFonts w:cs="Arial Unicode MS" w:eastAsia="Arial Unicode MS"/>
          <w:sz w:val="16"/>
          <w:szCs w:val="16"/>
          <w:rtl w:val="0"/>
        </w:rPr>
        <w:t>152.</w:t>
      </w:r>
    </w:p>
  </w:footnote>
  <w:footnote w:id="15">
    <w:p>
      <w:pPr>
        <w:pStyle w:val="Fußnote"/>
      </w:pPr>
      <w:r>
        <w:rPr>
          <w:rFonts w:ascii="Times New Roman" w:cs="Times New Roman" w:hAnsi="Times New Roman" w:eastAsia="Times New Roman"/>
          <w:vertAlign w:val="superscript"/>
          <w:lang w:val="en-US"/>
        </w:rPr>
        <w:footnoteRef/>
      </w:r>
      <w:r>
        <w:rPr>
          <w:rFonts w:cs="Arial Unicode MS" w:eastAsia="Arial Unicode MS"/>
          <w:sz w:val="16"/>
          <w:szCs w:val="16"/>
          <w:rtl w:val="0"/>
          <w:lang w:val="en-US"/>
        </w:rPr>
        <w:t xml:space="preserve"> Miranda Fricker, Epistemic Injustice: Power and the Ethics of Knowing (Oxford: Oxford University Press, 2007), 147</w:t>
      </w:r>
      <w:r>
        <w:rPr>
          <w:rFonts w:cs="Arial Unicode MS" w:eastAsia="Arial Unicode MS" w:hint="default"/>
          <w:sz w:val="16"/>
          <w:szCs w:val="16"/>
          <w:rtl w:val="0"/>
        </w:rPr>
        <w:t>–</w:t>
      </w:r>
      <w:r>
        <w:rPr>
          <w:rFonts w:cs="Arial Unicode MS" w:eastAsia="Arial Unicode MS"/>
          <w:sz w:val="16"/>
          <w:szCs w:val="16"/>
          <w:rtl w:val="0"/>
        </w:rPr>
        <w:t>152.</w:t>
      </w:r>
    </w:p>
  </w:footnote>
  <w:footnote w:id="16">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Cross, Choma, and Onofrey, "Bias in Medical AI," 4</w:t>
      </w:r>
      <w:r>
        <w:rPr>
          <w:rFonts w:cs="Arial Unicode MS" w:eastAsia="Arial Unicode MS" w:hint="default"/>
          <w:sz w:val="16"/>
          <w:szCs w:val="16"/>
          <w:rtl w:val="0"/>
        </w:rPr>
        <w:t>–</w:t>
      </w:r>
      <w:r>
        <w:rPr>
          <w:rFonts w:cs="Arial Unicode MS" w:eastAsia="Arial Unicode MS"/>
          <w:sz w:val="16"/>
          <w:szCs w:val="16"/>
          <w:rtl w:val="0"/>
        </w:rPr>
        <w:t>5.</w:t>
      </w:r>
    </w:p>
  </w:footnote>
  <w:footnote w:id="17">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Cross, Choma, and Onofrey, "Bias in Medical AI," 4, 9</w:t>
      </w:r>
      <w:r>
        <w:rPr>
          <w:rFonts w:cs="Arial Unicode MS" w:eastAsia="Arial Unicode MS" w:hint="default"/>
          <w:sz w:val="16"/>
          <w:szCs w:val="16"/>
          <w:rtl w:val="0"/>
        </w:rPr>
        <w:t>–</w:t>
      </w:r>
      <w:r>
        <w:rPr>
          <w:rFonts w:cs="Arial Unicode MS" w:eastAsia="Arial Unicode MS"/>
          <w:sz w:val="16"/>
          <w:szCs w:val="16"/>
          <w:rtl w:val="0"/>
        </w:rPr>
        <w:t>10.</w:t>
      </w:r>
    </w:p>
  </w:footnote>
  <w:footnote w:id="18">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Cross, Choma, and Onofrey, "Bias in Medical AI," 11</w:t>
      </w:r>
      <w:r>
        <w:rPr>
          <w:rFonts w:cs="Arial Unicode MS" w:eastAsia="Arial Unicode MS" w:hint="default"/>
          <w:sz w:val="16"/>
          <w:szCs w:val="16"/>
          <w:rtl w:val="0"/>
        </w:rPr>
        <w:t>–</w:t>
      </w:r>
      <w:r>
        <w:rPr>
          <w:rFonts w:cs="Arial Unicode MS" w:eastAsia="Arial Unicode MS"/>
          <w:sz w:val="16"/>
          <w:szCs w:val="16"/>
          <w:rtl w:val="0"/>
        </w:rPr>
        <w:t>12.</w:t>
      </w:r>
    </w:p>
  </w:footnote>
  <w:footnote w:id="19">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Carlo Reverberi et al., "Experimental Evidence of Effective Human-AI Collaboration in Medical Decision-Making," </w:t>
      </w:r>
      <w:r>
        <w:rPr>
          <w:rFonts w:cs="Arial Unicode MS" w:eastAsia="Arial Unicode MS"/>
          <w:i w:val="1"/>
          <w:iCs w:val="1"/>
          <w:sz w:val="16"/>
          <w:szCs w:val="16"/>
          <w:rtl w:val="0"/>
          <w:lang w:val="en-US"/>
        </w:rPr>
        <w:t>Scientific Reports</w:t>
      </w:r>
      <w:r>
        <w:rPr>
          <w:rFonts w:cs="Arial Unicode MS" w:eastAsia="Arial Unicode MS"/>
          <w:sz w:val="16"/>
          <w:szCs w:val="16"/>
          <w:rtl w:val="0"/>
        </w:rPr>
        <w:t xml:space="preserve"> 12 (2022): 14952, 3</w:t>
      </w:r>
      <w:r>
        <w:rPr>
          <w:rFonts w:cs="Arial Unicode MS" w:eastAsia="Arial Unicode MS" w:hint="default"/>
          <w:sz w:val="16"/>
          <w:szCs w:val="16"/>
          <w:rtl w:val="0"/>
        </w:rPr>
        <w:t>–</w:t>
      </w:r>
      <w:r>
        <w:rPr>
          <w:rFonts w:cs="Arial Unicode MS" w:eastAsia="Arial Unicode MS"/>
          <w:sz w:val="16"/>
          <w:szCs w:val="16"/>
          <w:rtl w:val="0"/>
        </w:rPr>
        <w:t>4.</w:t>
      </w:r>
    </w:p>
  </w:footnote>
  <w:footnote w:id="20">
    <w:p>
      <w:pPr>
        <w:pStyle w:val="Fußnote"/>
      </w:pPr>
      <w:r>
        <w:rPr>
          <w:rFonts w:ascii="Times New Roman" w:cs="Times New Roman" w:hAnsi="Times New Roman" w:eastAsia="Times New Roman"/>
          <w:vertAlign w:val="superscript"/>
          <w:lang w:val="de-DE"/>
        </w:rPr>
        <w:footnoteRef/>
      </w:r>
      <w:r>
        <w:rPr>
          <w:rFonts w:cs="Arial Unicode MS" w:eastAsia="Arial Unicode MS"/>
          <w:sz w:val="16"/>
          <w:szCs w:val="16"/>
          <w:rtl w:val="0"/>
          <w:lang w:val="en-US"/>
        </w:rPr>
        <w:t xml:space="preserve"> Maia Jacobs et al., "Designing AI for Trust and Collaboration in Time-Constrained Medical Decisions: A Sociotechnical Lens," in </w:t>
      </w:r>
      <w:r>
        <w:rPr>
          <w:rFonts w:cs="Arial Unicode MS" w:eastAsia="Arial Unicode MS"/>
          <w:i w:val="1"/>
          <w:iCs w:val="1"/>
          <w:sz w:val="16"/>
          <w:szCs w:val="16"/>
          <w:rtl w:val="0"/>
          <w:lang w:val="en-US"/>
        </w:rPr>
        <w:t>Proceedings of the 2021 CHI Conference on Human Factors in Computing Systems,</w:t>
      </w:r>
      <w:r>
        <w:rPr>
          <w:rFonts w:cs="Arial Unicode MS" w:eastAsia="Arial Unicode MS"/>
          <w:sz w:val="16"/>
          <w:szCs w:val="16"/>
          <w:rtl w:val="0"/>
          <w:lang w:val="fr-FR"/>
        </w:rPr>
        <w:t xml:space="preserve"> Article 725 (New York: ACM, 2021), 5</w:t>
      </w:r>
      <w:r>
        <w:rPr>
          <w:rFonts w:cs="Arial Unicode MS" w:eastAsia="Arial Unicode MS" w:hint="default"/>
          <w:sz w:val="16"/>
          <w:szCs w:val="16"/>
          <w:rtl w:val="0"/>
        </w:rPr>
        <w:t>–</w:t>
      </w:r>
      <w:r>
        <w:rPr>
          <w:rFonts w:cs="Arial Unicode MS" w:eastAsia="Arial Unicode MS"/>
          <w:sz w:val="16"/>
          <w:szCs w:val="16"/>
          <w:rtl w:val="0"/>
        </w:rPr>
        <w:t>7.</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A">
    <w:name w:val="Text A"/>
    <w:next w:val="Text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ext A A">
    <w:name w:val="Text A A"/>
    <w:next w:val="Text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Titel">
    <w:name w:val="Titel"/>
    <w:next w:val="Text A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046"/>
      </w:tabs>
      <w:suppressAutoHyphens w:val="0"/>
      <w:bidi w:val="0"/>
      <w:spacing w:before="160" w:after="0" w:line="240" w:lineRule="auto"/>
      <w:ind w:left="0"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Überschrift">
    <w:name w:val="Überschrift"/>
    <w:next w:val="Text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ußnote">
    <w:name w:val="Fußnote"/>
    <w:next w:val="Fuß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