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Xf7e9d17bf2b70cd302b3311bb195e9deb17cc0d"/>
    <w:p>
      <w:pPr>
        <w:pStyle w:val="Heading1"/>
      </w:pPr>
      <w:r>
        <w:t xml:space="preserve">AI Code Orchestrator — Technical Documentation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2.0.0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2026‑02‑07</w:t>
      </w:r>
    </w:p>
    <w:p>
      <w:r>
        <w:pict>
          <v:rect style="width:0;height:1.5pt" o:hralign="center" o:hrstd="t" o:hr="t"/>
        </w:pict>
      </w:r>
    </w:p>
    <w:bookmarkStart w:id="26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AI Code Orchestrator</w:t>
      </w:r>
      <w:r>
        <w:t xml:space="preserve"> </w:t>
      </w:r>
      <w:r>
        <w:t xml:space="preserve">is a framework for orchestrating multiple AI agents to produce high quality software on a local machine. The first release (v0.1.0) provided a scaffold with phase and specialist agents, schema‑driven outputs, a simple RAG subsystem and a CLI/API layer. While the skeleton proved the concept, it suffered from mono‑vendor lock‑in, sequential execution and no cost controls.</w:t>
      </w:r>
    </w:p>
    <w:p>
      <w:pPr>
        <w:pStyle w:val="BodyText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2.0.0</w:t>
      </w:r>
      <w:r>
        <w:t xml:space="preserve"> </w:t>
      </w:r>
      <w:r>
        <w:t xml:space="preserve">architecture, which expands the system with multi‑vendor LLM support, token optimisation strategies, parallel execution, cost management and improved research/retrieval mechanisms. It also introduces a clear plan for integrating these features into a local development environment using open‑source tooling where possible.</w:t>
      </w:r>
    </w:p>
    <w:bookmarkStart w:id="25" w:name="key-enhancements-since-v0.1.0"/>
    <w:p>
      <w:pPr>
        <w:pStyle w:val="Heading3"/>
      </w:pPr>
      <w:r>
        <w:t xml:space="preserve">Key enhancements since v0.1.0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v0.1.0</w:t>
            </w:r>
          </w:p>
        </w:tc>
        <w:tc>
          <w:tcPr/>
          <w:p>
            <w:pPr>
              <w:pStyle w:val="Compact"/>
            </w:pPr>
            <w:r>
              <w:t xml:space="preserve">v2.0.0 improvements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selection</w:t>
            </w:r>
          </w:p>
        </w:tc>
        <w:tc>
          <w:tcPr/>
          <w:p>
            <w:pPr>
              <w:pStyle w:val="Compact"/>
            </w:pPr>
            <w:r>
              <w:t xml:space="preserve">Hard‑coded to GPT‑4o and GPT‑4o‑mini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Multi‑vendor routing</w:t>
            </w:r>
            <w:r>
              <w:t xml:space="preserve"> </w:t>
            </w:r>
            <w:r>
              <w:t xml:space="preserve">across OpenAI, Anthropic and Google models. The model router chooses the best model for each phase (analysis, architecture, implementation, testing, review, documentation) based on reasoning ability, cost and context requirements.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pattern</w:t>
            </w:r>
          </w:p>
        </w:tc>
        <w:tc>
          <w:tcPr/>
          <w:p>
            <w:pPr>
              <w:pStyle w:val="Compact"/>
            </w:pPr>
            <w:r>
              <w:t xml:space="preserve">Strictly sequential (analyst → architect → implementer → tester)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Parallel execution</w:t>
            </w:r>
            <w:r>
              <w:t xml:space="preserve">: phases that can run concurrently (e.g. backend and frontend implementation) are executed with</w:t>
            </w:r>
            <w:r>
              <w:t xml:space="preserve"> </w:t>
            </w:r>
            <w:r>
              <w:rPr>
                <w:rStyle w:val="VerbatimChar"/>
              </w:rPr>
              <w:t xml:space="preserve">asyncio.gather</w:t>
            </w:r>
            <w:r>
              <w:t xml:space="preserve">, reducing end‑to‑end latency by ~40 %. A producer–reviewer loop ensures that outputs meet quality thresholds before moving 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usage</w:t>
            </w:r>
          </w:p>
        </w:tc>
        <w:tc>
          <w:tcPr/>
          <w:p>
            <w:pPr>
              <w:pStyle w:val="Compact"/>
            </w:pPr>
            <w:r>
              <w:t xml:space="preserve">Agents pass entire context to each LLM call, resulting in excessive token consumption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Token optimisation strategies</w:t>
            </w:r>
            <w:r>
              <w:t xml:space="preserve">: context truncation retains only the most recent message pairs; minimal context passing sends only the diff or relevant segments; codified communication between agents replaces verbose natural language with structured JSON messages; and optional agentic retrieval splits RAG into cheap extraction, analysis and answer stages. Together these techniques reduce token usage by 55–75 %.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 subsystem</w:t>
            </w:r>
          </w:p>
        </w:tc>
        <w:tc>
          <w:tcPr/>
          <w:p>
            <w:pPr>
              <w:pStyle w:val="Compact"/>
            </w:pPr>
            <w:r>
              <w:t xml:space="preserve">In‑memory toy embeddings with deterministic hashing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Pluggable vector store</w:t>
            </w:r>
            <w:r>
              <w:t xml:space="preserve">: the retriever can switch between a simple in‑memory store and open‑source vector databases like</w:t>
            </w:r>
            <w:r>
              <w:t xml:space="preserve"> </w:t>
            </w:r>
            <w:r>
              <w:rPr>
                <w:b/>
                <w:bCs/>
              </w:rPr>
              <w:t xml:space="preserve">Chroma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Faiss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Weaviate</w:t>
            </w:r>
            <w:r>
              <w:t xml:space="preserve">. These solutions are free to run locally and are recommended for small projects; they provide robust performance without external dependencies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  <w:hyperlink r:id="rId22">
              <w:r>
                <w:rPr>
                  <w:rStyle w:val="Hyperlink"/>
                </w:rPr>
                <w:t xml:space="preserve">[2]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Embedding model</w:t>
            </w:r>
          </w:p>
        </w:tc>
        <w:tc>
          <w:tcPr/>
          <w:p>
            <w:pPr>
              <w:pStyle w:val="Compact"/>
            </w:pPr>
            <w:r>
              <w:t xml:space="preserve">Only OpenAI’s embedding model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Configurable embeddings</w:t>
            </w:r>
            <w:r>
              <w:t xml:space="preserve">: supports OpenAI’s</w:t>
            </w:r>
            <w:r>
              <w:t xml:space="preserve"> </w:t>
            </w:r>
            <w:r>
              <w:rPr>
                <w:rStyle w:val="VerbatimChar"/>
              </w:rPr>
              <w:t xml:space="preserve">text‑embedding‑3‑small</w:t>
            </w:r>
            <w:r>
              <w:t xml:space="preserve"> </w:t>
            </w:r>
            <w:r>
              <w:t xml:space="preserve">as the default due to its low cost and competitive accuracy; open‑source models are also supported. Evaluations show that the small model costs only $0.03 per million tokens versus $0.15 for the large variant and delivers similar accuracy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hyperlink r:id="rId24">
              <w:r>
                <w:rPr>
                  <w:rStyle w:val="Hyperlink"/>
                </w:rPr>
                <w:t xml:space="preserve">[4]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management</w:t>
            </w:r>
          </w:p>
        </w:tc>
        <w:tc>
          <w:tcPr/>
          <w:p>
            <w:pPr>
              <w:pStyle w:val="Compact"/>
            </w:pPr>
            <w:r>
              <w:t xml:space="preserve">No visibility into token consumption or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Real‑time cost tracking</w:t>
            </w:r>
            <w:r>
              <w:t xml:space="preserve"> </w:t>
            </w:r>
            <w:r>
              <w:t xml:space="preserve">with per‑task, hourly and daily budgets. A</w:t>
            </w:r>
            <w:r>
              <w:t xml:space="preserve"> </w:t>
            </w:r>
            <w:r>
              <w:rPr>
                <w:rStyle w:val="VerbatimChar"/>
              </w:rPr>
              <w:t xml:space="preserve">CostManager</w:t>
            </w:r>
            <w:r>
              <w:t xml:space="preserve"> </w:t>
            </w:r>
            <w:r>
              <w:t xml:space="preserve">records tokens consumed and estimated USD cost per call, emits alerts when budgets are near exhaustion and can halt execution to avoid overruns.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and consensus</w:t>
            </w:r>
          </w:p>
        </w:tc>
        <w:tc>
          <w:tcPr/>
          <w:p>
            <w:pPr>
              <w:pStyle w:val="Compact"/>
            </w:pPr>
            <w:r>
              <w:t xml:space="preserve">Basic documentation and no consensus mechanism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Consensus and review mechanisms</w:t>
            </w:r>
            <w:r>
              <w:t xml:space="preserve">: critical design decisions are proposed by multiple models (e.g. Claude Sonnet, GPT‑4o and Gemini) and resolved via majority voting or reasoning chains. A producer–reviewer loop ensures each piece of code is reviewed by a higher‑capability model. Detailed documentation is generated using large‑context models (e.g. Gemini 2.5 Pro) to capture design rationales.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8" w:name="architecture"/>
    <w:p>
      <w:pPr>
        <w:pStyle w:val="Heading2"/>
      </w:pPr>
      <w:r>
        <w:t xml:space="preserve">2. Architecture</w:t>
      </w:r>
    </w:p>
    <w:p>
      <w:pPr>
        <w:pStyle w:val="FirstParagraph"/>
      </w:pPr>
      <w:r>
        <w:t xml:space="preserve">The enhanced architecture introduces dedicated components for model routing, cost control and parallel execution, while retaining the modular agent layers from v0.1.0.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API Gateway (FastAPI)                 │</w:t>
      </w:r>
      <w:r>
        <w:br/>
      </w:r>
      <w:r>
        <w:rPr>
          <w:rStyle w:val="VerbatimChar"/>
        </w:rPr>
        <w:t xml:space="preserve">│  - Authentication (API key or JWT)                          │</w:t>
      </w:r>
      <w:r>
        <w:br/>
      </w:r>
      <w:r>
        <w:rPr>
          <w:rStyle w:val="VerbatimChar"/>
        </w:rPr>
        <w:t xml:space="preserve">│  - Rate limiting (token bucket)                             │</w:t>
      </w:r>
      <w:r>
        <w:br/>
      </w:r>
      <w:r>
        <w:rPr>
          <w:rStyle w:val="VerbatimChar"/>
        </w:rPr>
        <w:t xml:space="preserve">│  - Request routing &amp; input validation                       │</w:t>
      </w:r>
      <w:r>
        <w:br/>
      </w:r>
      <w:r>
        <w:rPr>
          <w:rStyle w:val="VerbatimChar"/>
        </w:rPr>
        <w:t xml:space="preserve">└───────────────┬─────────────────────────────────────────────┘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      ┌──────▼─────────┐</w:t>
      </w:r>
      <w:r>
        <w:br/>
      </w:r>
      <w:r>
        <w:rPr>
          <w:rStyle w:val="VerbatimChar"/>
        </w:rPr>
        <w:t xml:space="preserve">         │  Orchestrator  │</w:t>
      </w:r>
      <w:r>
        <w:br/>
      </w:r>
      <w:r>
        <w:rPr>
          <w:rStyle w:val="VerbatimChar"/>
        </w:rPr>
        <w:t xml:space="preserve">         │  - multi‑model │</w:t>
      </w:r>
      <w:r>
        <w:br/>
      </w:r>
      <w:r>
        <w:rPr>
          <w:rStyle w:val="VerbatimChar"/>
        </w:rPr>
        <w:t xml:space="preserve">         │  - parallel    │</w:t>
      </w:r>
      <w:r>
        <w:br/>
      </w:r>
      <w:r>
        <w:rPr>
          <w:rStyle w:val="VerbatimChar"/>
        </w:rPr>
        <w:t xml:space="preserve">         │  - context opt │</w:t>
      </w:r>
      <w:r>
        <w:br/>
      </w:r>
      <w:r>
        <w:rPr>
          <w:rStyle w:val="VerbatimChar"/>
        </w:rPr>
        <w:t xml:space="preserve">         └──────┬─────────┘</w:t>
      </w:r>
      <w:r>
        <w:br/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   ┌────────────▼─────────────┐   ┌──────────────▼──────────────┐</w:t>
      </w:r>
      <w:r>
        <w:br/>
      </w:r>
      <w:r>
        <w:rPr>
          <w:rStyle w:val="VerbatimChar"/>
        </w:rPr>
        <w:t xml:space="preserve">   │     Cost Manager         │   │   RAG Retriever             │</w:t>
      </w:r>
      <w:r>
        <w:br/>
      </w:r>
      <w:r>
        <w:rPr>
          <w:rStyle w:val="VerbatimChar"/>
        </w:rPr>
        <w:t xml:space="preserve">   │  - track tokens &amp; cost   │   │  - vector store / Faiss     │</w:t>
      </w:r>
      <w:r>
        <w:br/>
      </w:r>
      <w:r>
        <w:rPr>
          <w:rStyle w:val="VerbatimChar"/>
        </w:rPr>
        <w:t xml:space="preserve">   │  - enforce budgets       │   │  - embedding selection      │</w:t>
      </w:r>
      <w:r>
        <w:br/>
      </w:r>
      <w:r>
        <w:rPr>
          <w:rStyle w:val="VerbatimChar"/>
        </w:rPr>
        <w:t xml:space="preserve">   └────────────┬─────────────┘   └──────────────┬──────────────┘</w:t>
      </w:r>
      <w:r>
        <w:br/>
      </w:r>
      <w:r>
        <w:rPr>
          <w:rStyle w:val="VerbatimChar"/>
        </w:rPr>
        <w:t xml:space="preserve">                │                                │</w:t>
      </w:r>
      <w:r>
        <w:br/>
      </w:r>
      <w:r>
        <w:rPr>
          <w:rStyle w:val="VerbatimChar"/>
        </w:rPr>
        <w:t xml:space="preserve">                │ Phase / speciality routing     │</w:t>
      </w:r>
      <w:r>
        <w:br/>
      </w:r>
      <w:r>
        <w:rPr>
          <w:rStyle w:val="VerbatimChar"/>
        </w:rPr>
        <w:t xml:space="preserve">                │                                │</w:t>
      </w:r>
      <w:r>
        <w:br/>
      </w:r>
      <w:r>
        <w:rPr>
          <w:rStyle w:val="VerbatimChar"/>
        </w:rPr>
        <w:t xml:space="preserve">         ┌──────▼──────────────────────────────────────────┐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│                  Agent Layer                   │</w:t>
      </w:r>
      <w:r>
        <w:br/>
      </w:r>
      <w:r>
        <w:rPr>
          <w:rStyle w:val="VerbatimChar"/>
        </w:rPr>
        <w:t xml:space="preserve">         │  Phase Agents:                                 │</w:t>
      </w:r>
      <w:r>
        <w:br/>
      </w:r>
      <w:r>
        <w:rPr>
          <w:rStyle w:val="VerbatimChar"/>
        </w:rPr>
        <w:t xml:space="preserve">         │   • Analyst (reasoning) – Claude Sonnet        │</w:t>
      </w:r>
      <w:r>
        <w:br/>
      </w:r>
      <w:r>
        <w:rPr>
          <w:rStyle w:val="VerbatimChar"/>
        </w:rPr>
        <w:t xml:space="preserve">         │   • Architect (consensus) – Sonnet/GPT/Gemini  │</w:t>
      </w:r>
      <w:r>
        <w:br/>
      </w:r>
      <w:r>
        <w:rPr>
          <w:rStyle w:val="VerbatimChar"/>
        </w:rPr>
        <w:t xml:space="preserve">         │   • Implementation (parallel) – GPT‑4o etc.     │</w:t>
      </w:r>
      <w:r>
        <w:br/>
      </w:r>
      <w:r>
        <w:rPr>
          <w:rStyle w:val="VerbatimChar"/>
        </w:rPr>
        <w:t xml:space="preserve">         │   • Testing – GPT‑4o mini                       │</w:t>
      </w:r>
      <w:r>
        <w:br/>
      </w:r>
      <w:r>
        <w:rPr>
          <w:rStyle w:val="VerbatimChar"/>
        </w:rPr>
        <w:t xml:space="preserve">         │  Specialist Agents:                            │</w:t>
      </w:r>
      <w:r>
        <w:br/>
      </w:r>
      <w:r>
        <w:rPr>
          <w:rStyle w:val="VerbatimChar"/>
        </w:rPr>
        <w:t xml:space="preserve">         │   • Backend (.NET) – GPT‑4o                     │</w:t>
      </w:r>
      <w:r>
        <w:br/>
      </w:r>
      <w:r>
        <w:rPr>
          <w:rStyle w:val="VerbatimChar"/>
        </w:rPr>
        <w:t xml:space="preserve">         │   • Frontend (React/TS) – GPT‑4o mini           │</w:t>
      </w:r>
      <w:r>
        <w:br/>
      </w:r>
      <w:r>
        <w:rPr>
          <w:rStyle w:val="VerbatimChar"/>
        </w:rPr>
        <w:t xml:space="preserve">         │   • Database/EF Core – Sonnet/GPT‑4o            │</w:t>
      </w:r>
      <w:r>
        <w:br/>
      </w:r>
      <w:r>
        <w:rPr>
          <w:rStyle w:val="VerbatimChar"/>
        </w:rPr>
        <w:t xml:space="preserve">         │   • QA &amp; Review – Claude Sonnet                 │</w:t>
      </w:r>
      <w:r>
        <w:br/>
      </w:r>
      <w:r>
        <w:rPr>
          <w:rStyle w:val="VerbatimChar"/>
        </w:rPr>
        <w:t xml:space="preserve">         └─────────────────────────────────────────────────┘</w:t>
      </w:r>
    </w:p>
    <w:bookmarkStart w:id="27" w:name="execution-flow"/>
    <w:p>
      <w:pPr>
        <w:pStyle w:val="Heading3"/>
      </w:pPr>
      <w:r>
        <w:t xml:space="preserve">2.1 Execution flow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 call</w:t>
      </w:r>
      <w:r>
        <w:t xml:space="preserve">: A client invokes the</w:t>
      </w:r>
      <w:r>
        <w:t xml:space="preserve"> </w:t>
      </w:r>
      <w:r>
        <w:rPr>
          <w:rStyle w:val="VerbatimChar"/>
        </w:rPr>
        <w:t xml:space="preserve">/run</w:t>
      </w:r>
      <w:r>
        <w:t xml:space="preserve"> </w:t>
      </w:r>
      <w:r>
        <w:t xml:space="preserve">endpoint with a phase, schema name and optional question for RAG enrichment. The API checks authentication, rate limits and cost budgets.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Routing &amp; retrieval</w:t>
      </w:r>
      <w:r>
        <w:t xml:space="preserve">: The orchestrator retrieves relevant context via the RAG retriever. The retriever can use a simple in‑memory index or plug into Chroma/Faiss/Weaviate for better scalability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Embeddings are generated using the configured model (e.g.</w:t>
      </w:r>
      <w:r>
        <w:t xml:space="preserve"> </w:t>
      </w:r>
      <w:r>
        <w:rPr>
          <w:rStyle w:val="VerbatimChar"/>
        </w:rPr>
        <w:t xml:space="preserve">text‑embedding‑3‑small</w:t>
      </w:r>
      <w:hyperlink r:id="rId23">
        <w:r>
          <w:rPr>
            <w:rStyle w:val="Hyperlink"/>
          </w:rPr>
          <w:t xml:space="preserve">[3]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 selection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ModelRouter</w:t>
      </w:r>
      <w:r>
        <w:t xml:space="preserve"> </w:t>
      </w:r>
      <w:r>
        <w:t xml:space="preserve">selects the appropriate model and provider for the current phase and complexity based on a YAML configuration. For example, analysis tasks use Claude Sonnet for its superior reasoning, while implementation tasks use GPT‑4o for its strong C# performance.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Agent execution</w:t>
      </w:r>
      <w:r>
        <w:t xml:space="preserve">: Phase agents build prompts from templates and context, call the LLM via the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, validate outputs against JSON schemas and produce structured results. For parallelisable phases (e.g. backend and frontend implementation), the orchestrator spawns concurrent tasks using</w:t>
      </w:r>
      <w:r>
        <w:t xml:space="preserve"> </w:t>
      </w:r>
      <w:r>
        <w:rPr>
          <w:rStyle w:val="VerbatimChar"/>
        </w:rPr>
        <w:t xml:space="preserve">asyncio.gather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Cost tracking &amp; enforcement</w:t>
      </w:r>
      <w:r>
        <w:t xml:space="preserve">: Each LLM call returns token usage. The</w:t>
      </w:r>
      <w:r>
        <w:t xml:space="preserve"> </w:t>
      </w:r>
      <w:r>
        <w:rPr>
          <w:rStyle w:val="VerbatimChar"/>
        </w:rPr>
        <w:t xml:space="preserve">CostManager</w:t>
      </w:r>
      <w:r>
        <w:t xml:space="preserve"> </w:t>
      </w:r>
      <w:r>
        <w:t xml:space="preserve">converts tokens to an estimated USD cost using pricing tables (see §7), updates per‑task and daily totals and halts execution if budgets are exceeded.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 loop</w:t>
      </w:r>
      <w:r>
        <w:t xml:space="preserve">: When producer–reviewer mode is enabled, the output of a specialist agent is reviewed by a higher‑capability agent (e.g. Claude Sonnet). Feedback is fed back to the producer until a quality threshold is met or a maximum number of iterations is reached.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multimodel-orchestration"/>
    <w:p>
      <w:pPr>
        <w:pStyle w:val="Heading2"/>
      </w:pPr>
      <w:r>
        <w:t xml:space="preserve">3. Multi‑Model orchestration</w:t>
      </w:r>
    </w:p>
    <w:bookmarkStart w:id="29" w:name="model-selection"/>
    <w:p>
      <w:pPr>
        <w:pStyle w:val="Heading3"/>
      </w:pPr>
      <w:r>
        <w:t xml:space="preserve">3.1 Model selection</w:t>
      </w:r>
    </w:p>
    <w:p>
      <w:pPr>
        <w:pStyle w:val="FirstParagraph"/>
      </w:pPr>
      <w:r>
        <w:t xml:space="preserve">Different phases of software development have distinct requirements: analysis demands deep reasoning; implementation benefits from strong code generation; testing and simple tasks should be cost‑effective; documentation and research need large context windows. The table below illustrates the preferred models and fallbacks used in this project.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Primary model (reason)</w:t>
            </w:r>
          </w:p>
        </w:tc>
        <w:tc>
          <w:tcPr/>
          <w:p>
            <w:pPr>
              <w:pStyle w:val="Compact"/>
            </w:pPr>
            <w:r>
              <w:t xml:space="preserve">Fallback</w:t>
            </w:r>
          </w:p>
        </w:tc>
        <w:tc>
          <w:tcPr/>
          <w:p>
            <w:pPr>
              <w:pStyle w:val="Compact"/>
            </w:pPr>
            <w:r>
              <w:t xml:space="preserve">Approx. cost/1 M tokens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Planning &amp;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 Sonnet 3.5</w:t>
            </w:r>
            <w:r>
              <w:t xml:space="preserve"> </w:t>
            </w:r>
            <w:r>
              <w:t xml:space="preserve">– strong reasoning &amp; context handling</w:t>
            </w:r>
          </w:p>
        </w:tc>
        <w:tc>
          <w:tcPr/>
          <w:p>
            <w:pPr>
              <w:pStyle w:val="Compact"/>
            </w:pPr>
            <w:r>
              <w:t xml:space="preserve">GPT‑4o</w:t>
            </w:r>
          </w:p>
        </w:tc>
        <w:tc>
          <w:tcPr/>
          <w:p>
            <w:pPr>
              <w:pStyle w:val="Compact"/>
            </w:pPr>
            <w:r>
              <w:t xml:space="preserve">\$3 input / \$15 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design</w:t>
            </w:r>
          </w:p>
        </w:tc>
        <w:tc>
          <w:tcPr/>
          <w:p>
            <w:pPr>
              <w:pStyle w:val="Compact"/>
            </w:pPr>
            <w:r>
              <w:t xml:space="preserve">Claude Sonnet 3.5 with consensus; multiple proposals merged via majority vote</w:t>
            </w:r>
          </w:p>
        </w:tc>
        <w:tc>
          <w:tcPr/>
          <w:p>
            <w:pPr>
              <w:pStyle w:val="Compact"/>
            </w:pPr>
            <w:r>
              <w:t xml:space="preserve">GPT‑4o / Gemini 2.5 Pro</w:t>
            </w:r>
          </w:p>
        </w:tc>
        <w:tc>
          <w:tcPr/>
          <w:p>
            <w:pPr>
              <w:pStyle w:val="Compact"/>
            </w:pPr>
            <w:r>
              <w:t xml:space="preserve">\$3 in / \$15 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(.NET)</w:t>
            </w:r>
          </w:p>
        </w:tc>
        <w:tc>
          <w:tcPr/>
          <w:p>
            <w:pPr>
              <w:pStyle w:val="Compact"/>
            </w:pPr>
            <w:r>
              <w:t xml:space="preserve">GPT‑4o – high C# accuracy (~92 % HumanEval)</w:t>
            </w:r>
          </w:p>
        </w:tc>
        <w:tc>
          <w:tcPr/>
          <w:p>
            <w:pPr>
              <w:pStyle w:val="Compact"/>
            </w:pPr>
            <w:r>
              <w:t xml:space="preserve">Claude Sonnet</w:t>
            </w:r>
          </w:p>
        </w:tc>
        <w:tc>
          <w:tcPr/>
          <w:p>
            <w:pPr>
              <w:pStyle w:val="Compact"/>
            </w:pPr>
            <w:r>
              <w:t xml:space="preserve">\$2.50 in / \$10 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(React/TS)</w:t>
            </w:r>
          </w:p>
        </w:tc>
        <w:tc>
          <w:tcPr/>
          <w:p>
            <w:pPr>
              <w:pStyle w:val="Compact"/>
            </w:pPr>
            <w:r>
              <w:t xml:space="preserve">GPT‑4o mini – cost‑effective, good TypeScript</w:t>
            </w:r>
          </w:p>
        </w:tc>
        <w:tc>
          <w:tcPr/>
          <w:p>
            <w:pPr>
              <w:pStyle w:val="Compact"/>
            </w:pPr>
            <w:r>
              <w:t xml:space="preserve">GPT‑4o</w:t>
            </w:r>
          </w:p>
        </w:tc>
        <w:tc>
          <w:tcPr/>
          <w:p>
            <w:pPr>
              <w:pStyle w:val="Compact"/>
            </w:pPr>
            <w:r>
              <w:t xml:space="preserve">\$0.15 in / \$0.60 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 &amp; simple tasks</w:t>
            </w:r>
          </w:p>
        </w:tc>
        <w:tc>
          <w:tcPr/>
          <w:p>
            <w:pPr>
              <w:pStyle w:val="Compact"/>
            </w:pPr>
            <w:r>
              <w:t xml:space="preserve">GPT‑4o mini</w:t>
            </w:r>
          </w:p>
        </w:tc>
        <w:tc>
          <w:tcPr/>
          <w:p>
            <w:pPr>
              <w:pStyle w:val="Compact"/>
            </w:pPr>
            <w:r>
              <w:t xml:space="preserve">GPT‑4o</w:t>
            </w:r>
          </w:p>
        </w:tc>
        <w:tc>
          <w:tcPr/>
          <w:p>
            <w:pPr>
              <w:pStyle w:val="Compact"/>
            </w:pPr>
            <w:r>
              <w:t xml:space="preserve">\$0.15 in / \$0.60 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 review &amp; QA</w:t>
            </w:r>
          </w:p>
        </w:tc>
        <w:tc>
          <w:tcPr/>
          <w:p>
            <w:pPr>
              <w:pStyle w:val="Compact"/>
            </w:pPr>
            <w:r>
              <w:t xml:space="preserve">Claude Sonnet 3.5 for multi‑perspective analysis</w:t>
            </w:r>
          </w:p>
        </w:tc>
        <w:tc>
          <w:tcPr/>
          <w:p>
            <w:pPr>
              <w:pStyle w:val="Compact"/>
            </w:pPr>
            <w:r>
              <w:t xml:space="preserve">GPT‑4o</w:t>
            </w:r>
          </w:p>
        </w:tc>
        <w:tc>
          <w:tcPr/>
          <w:p>
            <w:pPr>
              <w:pStyle w:val="Compact"/>
            </w:pPr>
            <w:r>
              <w:t xml:space="preserve">\$3 in / \$15 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&amp; research</w:t>
            </w:r>
          </w:p>
        </w:tc>
        <w:tc>
          <w:tcPr/>
          <w:p>
            <w:pPr>
              <w:pStyle w:val="Compact"/>
            </w:pPr>
            <w:r>
              <w:t xml:space="preserve">Gemini 2.5 Pro – 1 M context window</w:t>
            </w:r>
          </w:p>
        </w:tc>
        <w:tc>
          <w:tcPr/>
          <w:p>
            <w:pPr>
              <w:pStyle w:val="Compact"/>
            </w:pPr>
            <w:r>
              <w:t xml:space="preserve">GPT‑4o</w:t>
            </w:r>
          </w:p>
        </w:tc>
        <w:tc>
          <w:tcPr/>
          <w:p>
            <w:pPr>
              <w:pStyle w:val="Compact"/>
            </w:pPr>
            <w:r>
              <w:t xml:space="preserve">\$1.25 in / \$5 out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config/model_mapping.yaml</w:t>
      </w:r>
      <w:r>
        <w:t xml:space="preserve"> </w:t>
      </w:r>
      <w:r>
        <w:t xml:space="preserve">file captures these assignments along with temperatures, context limits and providers. The</w:t>
      </w:r>
      <w:r>
        <w:t xml:space="preserve"> </w:t>
      </w:r>
      <w:r>
        <w:rPr>
          <w:rStyle w:val="VerbatimChar"/>
        </w:rPr>
        <w:t xml:space="preserve">ModelRouter</w:t>
      </w:r>
      <w:r>
        <w:t xml:space="preserve"> </w:t>
      </w:r>
      <w:r>
        <w:t xml:space="preserve">reads this configuration to determine the correct model for each LLM request.</w:t>
      </w:r>
    </w:p>
    <w:bookmarkEnd w:id="29"/>
    <w:bookmarkStart w:id="30" w:name="token-optimisation"/>
    <w:p>
      <w:pPr>
        <w:pStyle w:val="Heading3"/>
      </w:pPr>
      <w:r>
        <w:t xml:space="preserve">3.2 Token optimisation</w:t>
      </w:r>
    </w:p>
    <w:p>
      <w:pPr>
        <w:pStyle w:val="FirstParagraph"/>
      </w:pPr>
      <w:r>
        <w:t xml:space="preserve">Reducing token usage is critical on a local machine, especially when working with paid APIs. This project implements several strategies: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Context truncation</w:t>
      </w:r>
      <w:r>
        <w:t xml:space="preserve"> </w:t>
      </w:r>
      <w:r>
        <w:t xml:space="preserve">– When passing chat history to the LLM, only the most recent</w:t>
      </w:r>
      <w:r>
        <w:t xml:space="preserve"> </w:t>
      </w:r>
      <w:r>
        <w:rPr>
          <w:i/>
          <w:iCs/>
        </w:rPr>
        <w:t xml:space="preserve">k</w:t>
      </w:r>
      <w:r>
        <w:t xml:space="preserve"> </w:t>
      </w:r>
      <w:r>
        <w:t xml:space="preserve">message pairs are retained. This reduces input token counts without sacrificing immediate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Minimal context passing</w:t>
      </w:r>
      <w:r>
        <w:t xml:space="preserve"> </w:t>
      </w:r>
      <w:r>
        <w:t xml:space="preserve">– Specialist agents send only the relevant lines or diff of a file instead of the entire file. For example, a code review agent can receive a JSON payload describing changed lines rather than the whole file.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Codified communication</w:t>
      </w:r>
      <w:r>
        <w:t xml:space="preserve"> </w:t>
      </w:r>
      <w:r>
        <w:t xml:space="preserve">– Agents exchange structured JSON messages (e.g.</w:t>
      </w:r>
      <w:r>
        <w:t xml:space="preserve"> </w:t>
      </w:r>
      <w:r>
        <w:rPr>
          <w:rStyle w:val="VerbatimChar"/>
        </w:rPr>
        <w:t xml:space="preserve">{ "type": "REVIEW_REQUEST", "file": "UserController.cs", "lines": [45, 52] }</w:t>
      </w:r>
      <w:r>
        <w:t xml:space="preserve">) rather than verbose natural language. This reduces tokens by 55–87 % while providing machine‑readable metadata.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Agentic retrieval</w:t>
      </w:r>
      <w:r>
        <w:t xml:space="preserve"> </w:t>
      </w:r>
      <w:r>
        <w:t xml:space="preserve">(optional) – The RAG layer is split into extraction (cheap model), analysis (medium model) and answering (expensive model). Only the final stage uses a high‑cost model like Claude Sonnet. This pipeline can reduce token cost by ~60 %.</w:t>
      </w:r>
    </w:p>
    <w:bookmarkEnd w:id="30"/>
    <w:bookmarkStart w:id="31" w:name="vector-store-embeddings"/>
    <w:p>
      <w:pPr>
        <w:pStyle w:val="Heading3"/>
      </w:pPr>
      <w:r>
        <w:t xml:space="preserve">3.3 Vector store &amp; embeddings</w:t>
      </w:r>
    </w:p>
    <w:p>
      <w:pPr>
        <w:pStyle w:val="FirstParagraph"/>
      </w:pPr>
      <w:r>
        <w:t xml:space="preserve">For local usage without a GPU, open‑source vector databases are recommended.</w:t>
      </w:r>
      <w:r>
        <w:t xml:space="preserve"> </w:t>
      </w:r>
      <w:r>
        <w:rPr>
          <w:b/>
          <w:bCs/>
        </w:rPr>
        <w:t xml:space="preserve">Chroma</w:t>
      </w:r>
      <w:r>
        <w:t xml:space="preserve">,</w:t>
      </w:r>
      <w:r>
        <w:t xml:space="preserve"> </w:t>
      </w:r>
      <w:r>
        <w:rPr>
          <w:b/>
          <w:bCs/>
        </w:rPr>
        <w:t xml:space="preserve">Faiss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Weaviate</w:t>
      </w:r>
      <w:r>
        <w:t xml:space="preserve"> </w:t>
      </w:r>
      <w:r>
        <w:t xml:space="preserve">are fully open source, require modest resources and integrate well with Python</w:t>
      </w:r>
      <w:hyperlink r:id="rId21">
        <w:r>
          <w:rPr>
            <w:rStyle w:val="Hyperlink"/>
          </w:rPr>
          <w:t xml:space="preserve">[1]</w:t>
        </w:r>
      </w:hyperlink>
      <w:r>
        <w:t xml:space="preserve">. PGVector provides vector search inside PostgreSQL and may be suitable if you already run a database</w:t>
      </w:r>
      <w:hyperlink r:id="rId21">
        <w:r>
          <w:rPr>
            <w:rStyle w:val="Hyperlink"/>
          </w:rPr>
          <w:t xml:space="preserve">[1]</w:t>
        </w:r>
      </w:hyperlink>
      <w:r>
        <w:t xml:space="preserve">. Small projects can use an in‑memory store; larger or persistent deployments should adopt a dedicated vector DB for scalability</w:t>
      </w:r>
      <w:hyperlink r:id="rId22">
        <w:r>
          <w:rPr>
            <w:rStyle w:val="Hyperlink"/>
          </w:rPr>
          <w:t xml:space="preserve">[2]</w:t>
        </w:r>
      </w:hyperlink>
      <w:r>
        <w:t xml:space="preserve">.</w:t>
      </w:r>
    </w:p>
    <w:p>
      <w:pPr>
        <w:pStyle w:val="BodyText"/>
      </w:pPr>
      <w:r>
        <w:t xml:space="preserve">The default embedding model is OpenAI’s</w:t>
      </w:r>
      <w:r>
        <w:t xml:space="preserve"> </w:t>
      </w:r>
      <w:r>
        <w:rPr>
          <w:rStyle w:val="VerbatimChar"/>
        </w:rPr>
        <w:t xml:space="preserve">text‑embedding‑3‑small</w:t>
      </w:r>
      <w:r>
        <w:t xml:space="preserve"> </w:t>
      </w:r>
      <w:r>
        <w:t xml:space="preserve">because it offers a good trade‑off between cost and accuracy. In tests, it costs \$0.03 per million tokens compared with \$0.15 for the large variant and performs within ~5 % of the larger model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Open‑source embedding models are also supported via Hugging Face libraries if internet access is restricted.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cost-management"/>
    <w:p>
      <w:pPr>
        <w:pStyle w:val="Heading2"/>
      </w:pPr>
      <w:r>
        <w:t xml:space="preserve">4. Cost management</w:t>
      </w:r>
    </w:p>
    <w:p>
      <w:pPr>
        <w:pStyle w:val="FirstParagraph"/>
      </w:pPr>
      <w:r>
        <w:t xml:space="preserve">Each LLM call incurs cost proportional to input and output tokens. To prevent runaway expenses, the system includes a</w:t>
      </w:r>
      <w:r>
        <w:t xml:space="preserve"> </w:t>
      </w:r>
      <w:r>
        <w:rPr>
          <w:rStyle w:val="VerbatimChar"/>
        </w:rPr>
        <w:t xml:space="preserve">CostManager</w:t>
      </w:r>
      <w:r>
        <w:t xml:space="preserve"> </w:t>
      </w:r>
      <w:r>
        <w:t xml:space="preserve">that monitors token usage and applies budgets.</w:t>
      </w:r>
    </w:p>
    <w:bookmarkStart w:id="33" w:name="pricing-model"/>
    <w:p>
      <w:pPr>
        <w:pStyle w:val="Heading3"/>
      </w:pPr>
      <w:r>
        <w:t xml:space="preserve">4.1 Pricing model</w:t>
      </w:r>
    </w:p>
    <w:p>
      <w:pPr>
        <w:pStyle w:val="FirstParagraph"/>
      </w:pPr>
      <w:r>
        <w:t xml:space="preserve">The pricing table in §3.1 is encoded in</w:t>
      </w:r>
      <w:r>
        <w:t xml:space="preserve"> </w:t>
      </w:r>
      <w:r>
        <w:rPr>
          <w:rStyle w:val="VerbatimChar"/>
        </w:rPr>
        <w:t xml:space="preserve">core/cost_manager.py</w:t>
      </w:r>
      <w:r>
        <w:t xml:space="preserve">. When the</w:t>
      </w:r>
      <w:r>
        <w:t xml:space="preserve"> </w:t>
      </w:r>
      <w:r>
        <w:rPr>
          <w:rStyle w:val="VerbatimChar"/>
        </w:rPr>
        <w:t xml:space="preserve">LLMClient</w:t>
      </w:r>
      <w:r>
        <w:t xml:space="preserve"> </w:t>
      </w:r>
      <w:r>
        <w:t xml:space="preserve">makes a call, it reports the number of tokens consumed. The cost manager multiplies tokens by the per‑million rate for the chosen model and updates the cumulative totals. Three budgets are defined: per task (e.g. \$0.50), per hour (e.g. \$5.00) and per day (e.g. \$40.00). If a budget is exceeded, the orchestrator stops further calls and returns an error.</w:t>
      </w:r>
    </w:p>
    <w:bookmarkEnd w:id="33"/>
    <w:bookmarkStart w:id="34" w:name="alerts-reporting"/>
    <w:p>
      <w:pPr>
        <w:pStyle w:val="Heading3"/>
      </w:pPr>
      <w:r>
        <w:t xml:space="preserve">4.2 Alerts &amp; reporting</w:t>
      </w:r>
    </w:p>
    <w:p>
      <w:pPr>
        <w:pStyle w:val="FirstParagraph"/>
      </w:pPr>
      <w:r>
        <w:t xml:space="preserve">When spending reaches 80 % of any budget, the cost manager emits a warning to the tracer. At completion, a cost report summarises tokens used and cost per phase. This data can be visualised in the web UI or exported for accounting.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file-structure-simplified"/>
    <w:p>
      <w:pPr>
        <w:pStyle w:val="Heading2"/>
      </w:pPr>
      <w:r>
        <w:t xml:space="preserve">5. File structure (simplified)</w:t>
      </w:r>
    </w:p>
    <w:p>
      <w:pPr>
        <w:pStyle w:val="SourceCode"/>
      </w:pPr>
      <w:r>
        <w:rPr>
          <w:rStyle w:val="VerbatimChar"/>
        </w:rPr>
        <w:t xml:space="preserve">core/</w:t>
      </w:r>
      <w:r>
        <w:br/>
      </w:r>
      <w:r>
        <w:rPr>
          <w:rStyle w:val="VerbatimChar"/>
        </w:rPr>
        <w:t xml:space="preserve">  orchestrator.py      # coordinates phases, parallel tasks and cost checks</w:t>
      </w:r>
      <w:r>
        <w:br/>
      </w:r>
      <w:r>
        <w:rPr>
          <w:rStyle w:val="VerbatimChar"/>
        </w:rPr>
        <w:t xml:space="preserve">  model_router.py      # load model mapping and select models</w:t>
      </w:r>
      <w:r>
        <w:br/>
      </w:r>
      <w:r>
        <w:rPr>
          <w:rStyle w:val="VerbatimChar"/>
        </w:rPr>
        <w:t xml:space="preserve">  llm_client.py        # unified client for OpenAI, Anthropic and Google APIs</w:t>
      </w:r>
      <w:r>
        <w:br/>
      </w:r>
      <w:r>
        <w:rPr>
          <w:rStyle w:val="VerbatimChar"/>
        </w:rPr>
        <w:t xml:space="preserve">  validator.py         # JSON Schema validation for agent outputs</w:t>
      </w:r>
      <w:r>
        <w:br/>
      </w:r>
      <w:r>
        <w:rPr>
          <w:rStyle w:val="VerbatimChar"/>
        </w:rPr>
        <w:t xml:space="preserve">  tracer.py            # JSONL tracer</w:t>
      </w:r>
      <w:r>
        <w:br/>
      </w:r>
      <w:r>
        <w:rPr>
          <w:rStyle w:val="VerbatimChar"/>
        </w:rPr>
        <w:t xml:space="preserve">  cost_manager.py      # track token usage and enforce budgets</w:t>
      </w:r>
      <w:r>
        <w:br/>
      </w:r>
      <w:r>
        <w:rPr>
          <w:rStyle w:val="VerbatimChar"/>
        </w:rPr>
        <w:t xml:space="preserve">  retriever.py         # RAG retriever (pluggable vector stores)</w:t>
      </w:r>
      <w:r>
        <w:br/>
      </w:r>
      <w:r>
        <w:rPr>
          <w:rStyle w:val="VerbatimChar"/>
        </w:rPr>
        <w:t xml:space="preserve">agents/</w:t>
      </w:r>
      <w:r>
        <w:br/>
      </w:r>
      <w:r>
        <w:rPr>
          <w:rStyle w:val="VerbatimChar"/>
        </w:rPr>
        <w:t xml:space="preserve">  phase_agents/</w:t>
      </w:r>
      <w:r>
        <w:br/>
      </w:r>
      <w:r>
        <w:rPr>
          <w:rStyle w:val="VerbatimChar"/>
        </w:rPr>
        <w:t xml:space="preserve">    analyst.py         # requirements analysis</w:t>
      </w:r>
      <w:r>
        <w:br/>
      </w:r>
      <w:r>
        <w:rPr>
          <w:rStyle w:val="VerbatimChar"/>
        </w:rPr>
        <w:t xml:space="preserve">    architect.py       # architecture design and consensus</w:t>
      </w:r>
      <w:r>
        <w:br/>
      </w:r>
      <w:r>
        <w:rPr>
          <w:rStyle w:val="VerbatimChar"/>
        </w:rPr>
        <w:t xml:space="preserve">    implementation.py  # implementation (backend/frontend) with parallel tasks</w:t>
      </w:r>
      <w:r>
        <w:br/>
      </w:r>
      <w:r>
        <w:rPr>
          <w:rStyle w:val="VerbatimChar"/>
        </w:rPr>
        <w:t xml:space="preserve">    testing.py         # test generation</w:t>
      </w:r>
      <w:r>
        <w:br/>
      </w:r>
      <w:r>
        <w:rPr>
          <w:rStyle w:val="VerbatimChar"/>
        </w:rPr>
        <w:t xml:space="preserve">schemas/</w:t>
      </w:r>
      <w:r>
        <w:br/>
      </w:r>
      <w:r>
        <w:rPr>
          <w:rStyle w:val="VerbatimChar"/>
        </w:rPr>
        <w:t xml:space="preserve">  phase_schemas/       # JSON schemas for each phase</w:t>
      </w:r>
      <w:r>
        <w:br/>
      </w:r>
      <w:r>
        <w:rPr>
          <w:rStyle w:val="VerbatimChar"/>
        </w:rPr>
        <w:t xml:space="preserve">prompts/</w:t>
      </w:r>
      <w:r>
        <w:br/>
      </w:r>
      <w:r>
        <w:rPr>
          <w:rStyle w:val="VerbatimChar"/>
        </w:rPr>
        <w:t xml:space="preserve">  phase_prompts/       # templates for each phase</w:t>
      </w:r>
      <w:r>
        <w:br/>
      </w:r>
      <w:r>
        <w:rPr>
          <w:rStyle w:val="VerbatimChar"/>
        </w:rPr>
        <w:t xml:space="preserve">config/</w:t>
      </w:r>
      <w:r>
        <w:br/>
      </w:r>
      <w:r>
        <w:rPr>
          <w:rStyle w:val="VerbatimChar"/>
        </w:rPr>
        <w:t xml:space="preserve">  model_mapping.yaml   # mapping of phases to models and providers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AI Code Orchestrator - Technical Documentation.md</w:t>
      </w:r>
    </w:p>
    <w:p>
      <w:r>
        <w:pict>
          <v:rect style="width:0;height:1.5pt" o:hralign="center" o:hrstd="t" o:hr="t"/>
        </w:pict>
      </w:r>
    </w:p>
    <w:bookmarkEnd w:id="36"/>
    <w:bookmarkStart w:id="40" w:name="running-locally"/>
    <w:p>
      <w:pPr>
        <w:pStyle w:val="Heading2"/>
      </w:pPr>
      <w:r>
        <w:t xml:space="preserve">6. Running locally</w:t>
      </w:r>
    </w:p>
    <w:bookmarkStart w:id="37" w:name="installation"/>
    <w:p>
      <w:pPr>
        <w:pStyle w:val="Heading3"/>
      </w:pPr>
      <w:r>
        <w:t xml:space="preserve">Installation</w:t>
      </w:r>
    </w:p>
    <w:p>
      <w:pPr>
        <w:pStyle w:val="SourceCode"/>
      </w:pPr>
      <w:r>
        <w:rPr>
          <w:rStyle w:val="VerbatimChar"/>
        </w:rPr>
        <w:t xml:space="preserve">python -m venv .venv &amp;&amp; source .venv/bin/activate  # Windows: .venv\Scripts\activate</w:t>
      </w:r>
      <w:r>
        <w:br/>
      </w:r>
      <w:r>
        <w:rPr>
          <w:rStyle w:val="VerbatimChar"/>
        </w:rPr>
        <w:t xml:space="preserve">pip install -r requirements.txt</w:t>
      </w:r>
    </w:p>
    <w:bookmarkEnd w:id="37"/>
    <w:bookmarkStart w:id="38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Set environment variables to control behaviour: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OFFLINE_LLM=1</w:t>
      </w:r>
      <w:r>
        <w:t xml:space="preserve"> </w:t>
      </w:r>
      <w:r>
        <w:t xml:space="preserve">– disable external API calls (offline stub);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enable live calls.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OPENAI_API_KEY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 </w:t>
      </w:r>
      <w:r>
        <w:t xml:space="preserve">– API keys for respective providers.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TRACE_JSONL=1</w:t>
      </w:r>
      <w:r>
        <w:t xml:space="preserve"> </w:t>
      </w:r>
      <w:r>
        <w:t xml:space="preserve">– enable tracing to a JSONL file.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COST_LIMIT_PER_TASK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COST_LIMIT_PER_HOUR</w:t>
      </w:r>
      <w:r>
        <w:t xml:space="preserve">,</w:t>
      </w:r>
      <w:r>
        <w:t xml:space="preserve"> </w:t>
      </w:r>
      <w:r>
        <w:rPr>
          <w:rStyle w:val="VerbatimChar"/>
        </w:rPr>
        <w:t xml:space="preserve">COST_LIMIT_PER_DAY</w:t>
      </w:r>
      <w:r>
        <w:t xml:space="preserve"> </w:t>
      </w:r>
      <w:r>
        <w:t xml:space="preserve">– override default budgets.</w:t>
      </w:r>
    </w:p>
    <w:bookmarkEnd w:id="38"/>
    <w:bookmarkStart w:id="39" w:name="running-the-pipeline"/>
    <w:p>
      <w:pPr>
        <w:pStyle w:val="Heading3"/>
      </w:pPr>
      <w:r>
        <w:t xml:space="preserve">Running the pipeline</w:t>
      </w:r>
    </w:p>
    <w:p>
      <w:pPr>
        <w:pStyle w:val="SourceCode"/>
      </w:pPr>
      <w:r>
        <w:rPr>
          <w:rStyle w:val="VerbatimChar"/>
        </w:rPr>
        <w:t xml:space="preserve">python -m core.orchestrator --phase analyst --schema requirements --question "existing user workflow"</w:t>
      </w:r>
      <w:r>
        <w:br/>
      </w:r>
      <w:r>
        <w:br/>
      </w:r>
      <w:r>
        <w:rPr>
          <w:rStyle w:val="VerbatimChar"/>
        </w:rPr>
        <w:t xml:space="preserve"># or end‑to‑end pipeline</w:t>
      </w:r>
      <w:r>
        <w:br/>
      </w:r>
      <w:r>
        <w:rPr>
          <w:rStyle w:val="VerbatimChar"/>
        </w:rPr>
        <w:t xml:space="preserve">python -m core.orchestrator --run_pipeline "Build a REST API with JWT authentication"</w:t>
      </w:r>
    </w:p>
    <w:p>
      <w:pPr>
        <w:pStyle w:val="FirstParagraph"/>
      </w:pPr>
      <w:r>
        <w:t xml:space="preserve">When the pipeline runs, the orchestrator will:</w:t>
      </w:r>
    </w:p>
    <w:p>
      <w:pPr>
        <w:pStyle w:val="Compact"/>
        <w:numPr>
          <w:ilvl w:val="0"/>
          <w:numId w:val="1004"/>
        </w:numPr>
      </w:pPr>
      <w:r>
        <w:t xml:space="preserve">Invoke the analyst agent to produce structured requirements.</w:t>
      </w:r>
    </w:p>
    <w:p>
      <w:pPr>
        <w:pStyle w:val="Compact"/>
        <w:numPr>
          <w:ilvl w:val="0"/>
          <w:numId w:val="1004"/>
        </w:numPr>
      </w:pPr>
      <w:r>
        <w:t xml:space="preserve">Use consensus architecture to design the solution.</w:t>
      </w:r>
    </w:p>
    <w:p>
      <w:pPr>
        <w:pStyle w:val="Compact"/>
        <w:numPr>
          <w:ilvl w:val="0"/>
          <w:numId w:val="1004"/>
        </w:numPr>
      </w:pPr>
      <w:r>
        <w:t xml:space="preserve">Launch backend and frontend implementation in parallel.</w:t>
      </w:r>
    </w:p>
    <w:p>
      <w:pPr>
        <w:pStyle w:val="Compact"/>
        <w:numPr>
          <w:ilvl w:val="0"/>
          <w:numId w:val="1004"/>
        </w:numPr>
      </w:pPr>
      <w:r>
        <w:t xml:space="preserve">Generate tests.</w:t>
      </w:r>
    </w:p>
    <w:p>
      <w:pPr>
        <w:pStyle w:val="Compact"/>
        <w:numPr>
          <w:ilvl w:val="0"/>
          <w:numId w:val="1004"/>
        </w:numPr>
      </w:pPr>
      <w:r>
        <w:t xml:space="preserve">Save outputs under</w:t>
      </w:r>
      <w:r>
        <w:t xml:space="preserve"> </w:t>
      </w:r>
      <w:r>
        <w:rPr>
          <w:rStyle w:val="VerbatimChar"/>
        </w:rPr>
        <w:t xml:space="preserve">outputs/&lt;timestamp&gt;/</w:t>
      </w:r>
      <w:r>
        <w:t xml:space="preserve"> </w:t>
      </w:r>
      <w:r>
        <w:t xml:space="preserve">and produce a cost report.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future-work"/>
    <w:p>
      <w:pPr>
        <w:pStyle w:val="Heading2"/>
      </w:pPr>
      <w:r>
        <w:t xml:space="preserve">7. Future work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Advanced RAG</w:t>
      </w:r>
      <w:r>
        <w:t xml:space="preserve">: integrate a real vector database (e.g. Qdrant or PGVector) and chunking strategies for longer documents.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EF Core‑aware agents</w:t>
      </w:r>
      <w:r>
        <w:t xml:space="preserve">: parse existing</w:t>
      </w:r>
      <w:r>
        <w:t xml:space="preserve"> </w:t>
      </w:r>
      <w:r>
        <w:rPr>
          <w:rStyle w:val="VerbatimChar"/>
        </w:rPr>
        <w:t xml:space="preserve">DbContext</w:t>
      </w:r>
      <w:r>
        <w:t xml:space="preserve"> </w:t>
      </w:r>
      <w:r>
        <w:t xml:space="preserve">classes and generate migrations automatically.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Incremental code modification</w:t>
      </w:r>
      <w:r>
        <w:t xml:space="preserve">: leverage AST parsing (e.g. Roslyn for C#) to apply targeted changes rather than generating entire files.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 integration</w:t>
      </w:r>
      <w:r>
        <w:t xml:space="preserve">: run generated tests and evaluations automatically in the GitHub workflow and upload cost reports.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Web UI</w:t>
      </w:r>
      <w:r>
        <w:t xml:space="preserve">: build a React dashboard for monitoring runs, costs and agent interactions in real time.</w:t>
      </w:r>
    </w:p>
    <w:p>
      <w:r>
        <w:pict>
          <v:rect style="width:0;height:1.5pt" o:hralign="center" o:hrstd="t" o:hr="t"/>
        </w:pict>
      </w:r>
    </w:p>
    <w:bookmarkStart w:id="41" w:name="references"/>
    <w:p>
      <w:pPr>
        <w:pStyle w:val="Heading3"/>
      </w:pPr>
      <w:r>
        <w:t xml:space="preserve">References</w:t>
      </w:r>
    </w:p>
    <w:p>
      <w:pPr>
        <w:pStyle w:val="FirstParagraph"/>
      </w:pPr>
      <w:r>
        <w:t xml:space="preserve">Open‑source vector databases provide free local alternatives for small projects and integrate easily with Python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Evaluations of OpenAI embedding models show that the small model delivers good accuracy at a fraction of the cost of larger models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bookmarkEnd w:id="41"/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4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The 7 Best Vector Databases in 2025 | DataCamp</w:t>
      </w:r>
    </w:p>
    <w:p>
      <w:pPr>
        <w:pStyle w:val="BodyText"/>
      </w:pPr>
      <w:hyperlink r:id="rId45">
        <w:r>
          <w:rPr>
            <w:rStyle w:val="Hyperlink"/>
          </w:rPr>
          <w:t xml:space="preserve">https://www.datacamp.com/blog/the-top-5-vector-databases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Evaluating Open-Source vs. OpenAI Embeddings for RAG | TigerData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https://www.tigerdata.com/blog/open-source-vs-openai-embeddings-for-rag</w:t>
        </w:r>
      </w:hyperlink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5" Target="https://www.datacamp.com/blog/the-top-5-vector-databases" TargetMode="External" /><Relationship Type="http://schemas.openxmlformats.org/officeDocument/2006/relationships/hyperlink" Id="rId22" Target="https://www.datacamp.com/blog/the-top-5-vector-databases#:~:text=Are%20vector%20databases%20suitable%20for,or%20only%20for%20large%20enterprises" TargetMode="External" /><Relationship Type="http://schemas.openxmlformats.org/officeDocument/2006/relationships/hyperlink" Id="rId21" Target="https://www.datacamp.com/blog/the-top-5-vector-databases#:~:text=Feature%20Chroma%20Pinecone%20Weaviate%20Faiss,Adding%20Vector%20Search%20to%20PostgreSQL" TargetMode="External" /><Relationship Type="http://schemas.openxmlformats.org/officeDocument/2006/relationships/hyperlink" Id="rId46" Target="https://www.tigerdata.com/blog/open-source-vs-openai-embeddings-for-rag" TargetMode="External" /><Relationship Type="http://schemas.openxmlformats.org/officeDocument/2006/relationships/hyperlink" Id="rId23" Target="https://www.tigerdata.com/blog/open-source-vs-openai-embeddings-for-rag#:~:text=" TargetMode="External" /><Relationship Type="http://schemas.openxmlformats.org/officeDocument/2006/relationships/hyperlink" Id="rId24" Target="https://www.tigerdata.com/blog/open-source-vs-openai-embeddings-for-rag#:~:text=,overall%20accurac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www.datacamp.com/blog/the-top-5-vector-databases" TargetMode="External" /><Relationship Type="http://schemas.openxmlformats.org/officeDocument/2006/relationships/hyperlink" Id="rId22" Target="https://www.datacamp.com/blog/the-top-5-vector-databases#:~:text=Are%20vector%20databases%20suitable%20for,or%20only%20for%20large%20enterprises" TargetMode="External" /><Relationship Type="http://schemas.openxmlformats.org/officeDocument/2006/relationships/hyperlink" Id="rId21" Target="https://www.datacamp.com/blog/the-top-5-vector-databases#:~:text=Feature%20Chroma%20Pinecone%20Weaviate%20Faiss,Adding%20Vector%20Search%20to%20PostgreSQL" TargetMode="External" /><Relationship Type="http://schemas.openxmlformats.org/officeDocument/2006/relationships/hyperlink" Id="rId46" Target="https://www.tigerdata.com/blog/open-source-vs-openai-embeddings-for-rag" TargetMode="External" /><Relationship Type="http://schemas.openxmlformats.org/officeDocument/2006/relationships/hyperlink" Id="rId23" Target="https://www.tigerdata.com/blog/open-source-vs-openai-embeddings-for-rag#:~:text=" TargetMode="External" /><Relationship Type="http://schemas.openxmlformats.org/officeDocument/2006/relationships/hyperlink" Id="rId24" Target="https://www.tigerdata.com/blog/open-source-vs-openai-embeddings-for-rag#:~:text=,overall%20accurac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2026-02-07T21:04:55Z</dcterms:created>
  <dcterms:modified xsi:type="dcterms:W3CDTF">2026-02-07T21:04:55Z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