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eea95f3eb3e67e2f68bb6259dd41e4e2a168984"/>
    <w:p>
      <w:pPr>
        <w:pStyle w:val="Heading1"/>
      </w:pPr>
      <w:r>
        <w:t xml:space="preserve">Architecture Strategy &amp; Conceptual Model — Domain‑Specific AI Code Orchestrator</w:t>
      </w:r>
    </w:p>
    <w:p>
      <w:pPr>
        <w:pStyle w:val="FirstParagraph"/>
      </w:pPr>
      <w:r>
        <w:rPr>
          <w:bCs/>
          <w:b/>
        </w:rPr>
        <w:t xml:space="preserve">Scope:</w:t>
      </w:r>
      <w:r>
        <w:t xml:space="preserve"> </w:t>
      </w:r>
      <w:r>
        <w:t xml:space="preserve">Domain‑specific extension of AI Code Orchestrator (v2 direction), with a clear path to v3 domain‑agnostic evolution.</w:t>
      </w:r>
    </w:p>
    <w:bookmarkStart w:id="22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The system accelerates</w:t>
      </w:r>
      <w:r>
        <w:t xml:space="preserve"> </w:t>
      </w:r>
      <w:r>
        <w:rPr>
          <w:bCs/>
          <w:b/>
        </w:rPr>
        <w:t xml:space="preserve">feature delivery</w:t>
      </w:r>
      <w:r>
        <w:t xml:space="preserve"> </w:t>
      </w:r>
      <w:r>
        <w:t xml:space="preserve">for a specific product domain by combining: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Domain knowledge ingestion</w:t>
      </w:r>
      <w:r>
        <w:t xml:space="preserve"> </w:t>
      </w:r>
      <w:r>
        <w:t xml:space="preserve">(schema, components, patterns) → durable knowledge base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Retrieval‑augmented generation (RAG)</w:t>
      </w:r>
      <w:r>
        <w:t xml:space="preserve"> </w:t>
      </w:r>
      <w:r>
        <w:t xml:space="preserve">→ relevant context per request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Phase‑based orchestration</w:t>
      </w:r>
      <w:r>
        <w:t xml:space="preserve"> </w:t>
      </w:r>
      <w:r>
        <w:t xml:space="preserve">(analyst → architect → implementer → tester → reviewer)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Governance controls</w:t>
      </w:r>
      <w:r>
        <w:t xml:space="preserve"> </w:t>
      </w:r>
      <w:r>
        <w:t xml:space="preserve">(validation, cost limits, tracing, compliance gates)</w:t>
      </w:r>
    </w:p>
    <w:bookmarkStart w:id="20" w:name="what-the-system-is"/>
    <w:p>
      <w:pPr>
        <w:pStyle w:val="Heading3"/>
      </w:pPr>
      <w:r>
        <w:t xml:space="preserve">1.1 What the system is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development orchestration framework</w:t>
      </w:r>
      <w:r>
        <w:t xml:space="preserve"> </w:t>
      </w:r>
      <w:r>
        <w:t xml:space="preserve">that produces</w:t>
      </w:r>
      <w:r>
        <w:t xml:space="preserve"> </w:t>
      </w:r>
      <w:r>
        <w:rPr>
          <w:iCs/>
          <w:i/>
        </w:rPr>
        <w:t xml:space="preserve">structured</w:t>
      </w:r>
      <w:r>
        <w:t xml:space="preserve"> </w:t>
      </w:r>
      <w:r>
        <w:t xml:space="preserve">outputs (plans, tasks, code, tests) for human review.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knowledge‑guided generator</w:t>
      </w:r>
      <w:r>
        <w:t xml:space="preserve">: it constrains outputs to existing domain assets.</w:t>
      </w:r>
    </w:p>
    <w:bookmarkEnd w:id="20"/>
    <w:bookmarkStart w:id="21" w:name="what-the-system-is-not"/>
    <w:p>
      <w:pPr>
        <w:pStyle w:val="Heading3"/>
      </w:pPr>
      <w:r>
        <w:t xml:space="preserve">1.2 What the system is not</w:t>
      </w:r>
    </w:p>
    <w:p>
      <w:pPr>
        <w:numPr>
          <w:ilvl w:val="0"/>
          <w:numId w:val="1003"/>
        </w:numPr>
        <w:pStyle w:val="Compact"/>
      </w:pPr>
      <w:r>
        <w:t xml:space="preserve">Not a CI/CD system (it can integrate with CI, but does not deploy).</w:t>
      </w:r>
    </w:p>
    <w:p>
      <w:pPr>
        <w:numPr>
          <w:ilvl w:val="0"/>
          <w:numId w:val="1003"/>
        </w:numPr>
        <w:pStyle w:val="Compact"/>
      </w:pPr>
      <w:r>
        <w:t xml:space="preserve">Not a production runtime.</w:t>
      </w:r>
    </w:p>
    <w:p>
      <w:pPr>
        <w:numPr>
          <w:ilvl w:val="0"/>
          <w:numId w:val="1003"/>
        </w:numPr>
        <w:pStyle w:val="Compact"/>
      </w:pPr>
      <w:r>
        <w:t xml:space="preserve">Not a single‑file</w:t>
      </w:r>
      <w:r>
        <w:t xml:space="preserve"> </w:t>
      </w:r>
      <w:r>
        <w:t xml:space="preserve">“</w:t>
      </w:r>
      <w:r>
        <w:t xml:space="preserve">code assistant</w:t>
      </w:r>
      <w:r>
        <w:t xml:space="preserve">”</w:t>
      </w:r>
      <w:r>
        <w:t xml:space="preserve">; it is a</w:t>
      </w:r>
      <w:r>
        <w:t xml:space="preserve"> </w:t>
      </w:r>
      <w:r>
        <w:rPr>
          <w:bCs/>
          <w:b/>
        </w:rPr>
        <w:t xml:space="preserve">workflow engine</w:t>
      </w:r>
      <w:r>
        <w:t xml:space="preserve">.</w:t>
      </w:r>
    </w:p>
    <w:bookmarkEnd w:id="21"/>
    <w:bookmarkEnd w:id="22"/>
    <w:bookmarkStart w:id="23" w:name="architectural-goals"/>
    <w:p>
      <w:pPr>
        <w:pStyle w:val="Heading2"/>
      </w:pPr>
      <w:r>
        <w:t xml:space="preserve">2. Architectural Goals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Domain alignment</w:t>
      </w:r>
      <w:r>
        <w:t xml:space="preserve">: generated outputs must reuse existing schema/components/patterns.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Token efficiency</w:t>
      </w:r>
      <w:r>
        <w:t xml:space="preserve">: keep prompts minimal via pre‑indexed knowledge and compact JSON context.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Local‑first</w:t>
      </w:r>
      <w:r>
        <w:t xml:space="preserve">: allow CPU‑friendly RAG for local development (Sentence Transformers + ChromaDB).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Deterministic contracts</w:t>
      </w:r>
      <w:r>
        <w:t xml:space="preserve">: phase outputs validated against JSON Schemas.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Quality gates</w:t>
      </w:r>
      <w:r>
        <w:t xml:space="preserve">: producer‑reviewer loop + compliance scoring.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Traceability</w:t>
      </w:r>
      <w:r>
        <w:t xml:space="preserve">: requirement → task → output artefacts → validation/compliance.</w:t>
      </w:r>
    </w:p>
    <w:bookmarkEnd w:id="23"/>
    <w:bookmarkStart w:id="24" w:name="key-principles"/>
    <w:p>
      <w:pPr>
        <w:pStyle w:val="Heading2"/>
      </w:pPr>
      <w:r>
        <w:t xml:space="preserve">3. Key Principles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Domain Knowledge as First‑Class Citizen</w:t>
      </w:r>
      <w:r>
        <w:t xml:space="preserve">: the knowledge base is a product artefact, versioned and auditable.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Structured over Prose</w:t>
      </w:r>
      <w:r>
        <w:t xml:space="preserve">: agents exchange JSON objects; prose is allowed only inside bounded fields.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Pre‑computation beats prompt bloat</w:t>
      </w:r>
      <w:r>
        <w:t xml:space="preserve">: ingest &amp; index once; retrieve small slices per request.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Separation of concerns</w:t>
      </w:r>
      <w:r>
        <w:t xml:space="preserve">: ingestion, retrieval, orchestration, governance are distinct layers.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Fail‑closed on contract violations</w:t>
      </w:r>
      <w:r>
        <w:t xml:space="preserve">: schema validation failures block the pipeline (unless explicitly configured).</w:t>
      </w:r>
    </w:p>
    <w:bookmarkEnd w:id="24"/>
    <w:bookmarkStart w:id="25" w:name="conceptual-model"/>
    <w:p>
      <w:pPr>
        <w:pStyle w:val="Heading2"/>
      </w:pPr>
      <w:r>
        <w:t xml:space="preserve">4. Conceptual Model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Domain Knowledge Sources   │</w:t>
      </w:r>
      <w:r>
        <w:br/>
      </w:r>
      <w:r>
        <w:rPr>
          <w:rStyle w:val="VerbatimChar"/>
        </w:rPr>
        <w:t xml:space="preserve">│  - DB schema (EF/DDL)        │</w:t>
      </w:r>
      <w:r>
        <w:br/>
      </w:r>
      <w:r>
        <w:rPr>
          <w:rStyle w:val="VerbatimChar"/>
        </w:rPr>
        <w:t xml:space="preserve">│  - UI components (TSX)       │</w:t>
      </w:r>
      <w:r>
        <w:br/>
      </w:r>
      <w:r>
        <w:rPr>
          <w:rStyle w:val="VerbatimChar"/>
        </w:rPr>
        <w:t xml:space="preserve">│  - Design tokens             │</w:t>
      </w:r>
      <w:r>
        <w:br/>
      </w:r>
      <w:r>
        <w:rPr>
          <w:rStyle w:val="VerbatimChar"/>
        </w:rPr>
        <w:t xml:space="preserve">│  - Query/code patterns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│ ingest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Knowledge Base (Documents) │</w:t>
      </w:r>
      <w:r>
        <w:br/>
      </w:r>
      <w:r>
        <w:rPr>
          <w:rStyle w:val="VerbatimChar"/>
        </w:rPr>
        <w:t xml:space="preserve">│  VectorDocument{id,type,...}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│ embed/index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Vector Store (Collections) │</w:t>
      </w:r>
      <w:r>
        <w:br/>
      </w:r>
      <w:r>
        <w:rPr>
          <w:rStyle w:val="VerbatimChar"/>
        </w:rPr>
        <w:t xml:space="preserve">│  - db_schema                 │</w:t>
      </w:r>
      <w:r>
        <w:br/>
      </w:r>
      <w:r>
        <w:rPr>
          <w:rStyle w:val="VerbatimChar"/>
        </w:rPr>
        <w:t xml:space="preserve">│  - component_library         │</w:t>
      </w:r>
      <w:r>
        <w:br/>
      </w:r>
      <w:r>
        <w:rPr>
          <w:rStyle w:val="VerbatimChar"/>
        </w:rPr>
        <w:t xml:space="preserve">│  - patterns       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│ retrieve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Domain‑Aware Retriever       │</w:t>
      </w:r>
      <w:r>
        <w:br/>
      </w:r>
      <w:r>
        <w:rPr>
          <w:rStyle w:val="VerbatimChar"/>
        </w:rPr>
        <w:t xml:space="preserve">│  DomainContext (structured)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│ context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Orchestrator (Phases)       │</w:t>
      </w:r>
      <w:r>
        <w:br/>
      </w:r>
      <w:r>
        <w:rPr>
          <w:rStyle w:val="VerbatimChar"/>
        </w:rPr>
        <w:t xml:space="preserve">│  Analyst→Architect→Impl→Test  │</w:t>
      </w:r>
      <w:r>
        <w:br/>
      </w:r>
      <w:r>
        <w:rPr>
          <w:rStyle w:val="VerbatimChar"/>
        </w:rPr>
        <w:t xml:space="preserve">│   + Reviewer/Consensus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│ artefacts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Governance &amp; Observability    │</w:t>
      </w:r>
      <w:r>
        <w:br/>
      </w:r>
      <w:r>
        <w:rPr>
          <w:rStyle w:val="VerbatimChar"/>
        </w:rPr>
        <w:t xml:space="preserve">│ - JSON schema validation      │</w:t>
      </w:r>
      <w:r>
        <w:br/>
      </w:r>
      <w:r>
        <w:rPr>
          <w:rStyle w:val="VerbatimChar"/>
        </w:rPr>
        <w:t xml:space="preserve">│ - Cost budgets                │</w:t>
      </w:r>
      <w:r>
        <w:br/>
      </w:r>
      <w:r>
        <w:rPr>
          <w:rStyle w:val="VerbatimChar"/>
        </w:rPr>
        <w:t xml:space="preserve">│ - Traces &amp; reports            │</w:t>
      </w:r>
      <w:r>
        <w:br/>
      </w:r>
      <w:r>
        <w:rPr>
          <w:rStyle w:val="VerbatimChar"/>
        </w:rPr>
        <w:t xml:space="preserve">│ - Compliance gates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bookmarkEnd w:id="25"/>
    <w:bookmarkStart w:id="26" w:name="logical-architecture-layers"/>
    <w:p>
      <w:pPr>
        <w:pStyle w:val="Heading2"/>
      </w:pPr>
      <w:r>
        <w:t xml:space="preserve">5. Logical Architecture Layers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Domain Knowledge Layer</w:t>
      </w:r>
    </w:p>
    <w:p>
      <w:pPr>
        <w:numPr>
          <w:ilvl w:val="1"/>
          <w:numId w:val="1007"/>
        </w:numPr>
        <w:pStyle w:val="Compact"/>
      </w:pPr>
      <w:r>
        <w:t xml:space="preserve">Ingesters parse domain assets into</w:t>
      </w:r>
      <w:r>
        <w:t xml:space="preserve"> </w:t>
      </w:r>
      <w:r>
        <w:rPr>
          <w:rStyle w:val="VerbatimChar"/>
        </w:rPr>
        <w:t xml:space="preserve">VectorDocument</w:t>
      </w:r>
      <w:r>
        <w:t xml:space="preserve"> </w:t>
      </w:r>
      <w:r>
        <w:t xml:space="preserve">records.</w:t>
      </w:r>
    </w:p>
    <w:p>
      <w:pPr>
        <w:numPr>
          <w:ilvl w:val="1"/>
          <w:numId w:val="1007"/>
        </w:numPr>
        <w:pStyle w:val="Compact"/>
      </w:pPr>
      <w:r>
        <w:t xml:space="preserve">Owns</w:t>
      </w:r>
      <w:r>
        <w:t xml:space="preserve"> </w:t>
      </w:r>
      <w:r>
        <w:rPr>
          <w:bCs/>
          <w:b/>
        </w:rPr>
        <w:t xml:space="preserve">knowledge lifecycle</w:t>
      </w:r>
      <w:r>
        <w:t xml:space="preserve">: versioning, invalidation, re‑index.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Retrieval Layer (RAG)</w:t>
      </w:r>
    </w:p>
    <w:p>
      <w:pPr>
        <w:numPr>
          <w:ilvl w:val="1"/>
          <w:numId w:val="1008"/>
        </w:numPr>
        <w:pStyle w:val="Compact"/>
      </w:pPr>
      <w:r>
        <w:t xml:space="preserve">Multi‑collection retrieval (db + components + patterns).</w:t>
      </w:r>
    </w:p>
    <w:p>
      <w:pPr>
        <w:numPr>
          <w:ilvl w:val="1"/>
          <w:numId w:val="1008"/>
        </w:numPr>
        <w:pStyle w:val="Compact"/>
      </w:pPr>
      <w:r>
        <w:t xml:space="preserve">Outputs a structured</w:t>
      </w:r>
      <w:r>
        <w:t xml:space="preserve"> </w:t>
      </w:r>
      <w:r>
        <w:rPr>
          <w:rStyle w:val="VerbatimChar"/>
        </w:rPr>
        <w:t xml:space="preserve">DomainContext</w:t>
      </w:r>
      <w:r>
        <w:t xml:space="preserve"> </w:t>
      </w:r>
      <w:r>
        <w:t xml:space="preserve">(compact JSON for prompts).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Orchestration Layer</w:t>
      </w:r>
    </w:p>
    <w:p>
      <w:pPr>
        <w:numPr>
          <w:ilvl w:val="1"/>
          <w:numId w:val="1009"/>
        </w:numPr>
        <w:pStyle w:val="Compact"/>
      </w:pPr>
      <w:r>
        <w:t xml:space="preserve">Executes phases (and optionally parallel sub‑phases).</w:t>
      </w:r>
    </w:p>
    <w:p>
      <w:pPr>
        <w:numPr>
          <w:ilvl w:val="1"/>
          <w:numId w:val="1009"/>
        </w:numPr>
        <w:pStyle w:val="Compact"/>
      </w:pPr>
      <w:r>
        <w:t xml:space="preserve">Routes tasks to workflows (greenfield/incremental/refactor/migration).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Agent Execution Layer</w:t>
      </w:r>
    </w:p>
    <w:p>
      <w:pPr>
        <w:numPr>
          <w:ilvl w:val="1"/>
          <w:numId w:val="1010"/>
        </w:numPr>
        <w:pStyle w:val="Compact"/>
      </w:pPr>
      <w:r>
        <w:t xml:space="preserve">Phase agents: Analyst, Architect, Implementer, Tester.</w:t>
      </w:r>
    </w:p>
    <w:p>
      <w:pPr>
        <w:numPr>
          <w:ilvl w:val="1"/>
          <w:numId w:val="1010"/>
        </w:numPr>
        <w:pStyle w:val="Compact"/>
      </w:pPr>
      <w:r>
        <w:t xml:space="preserve">Specialist agents: domain‑specific (.NET EF, React TS) and governance (Reviewer).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Governance Layer</w:t>
      </w:r>
    </w:p>
    <w:p>
      <w:pPr>
        <w:numPr>
          <w:ilvl w:val="1"/>
          <w:numId w:val="1011"/>
        </w:numPr>
        <w:pStyle w:val="Compact"/>
      </w:pPr>
      <w:r>
        <w:t xml:space="preserve">Schema validation, retry policy, budget enforcement, redaction rules.</w:t>
      </w:r>
    </w:p>
    <w:p>
      <w:pPr>
        <w:numPr>
          <w:ilvl w:val="1"/>
          <w:numId w:val="1011"/>
        </w:numPr>
        <w:pStyle w:val="Compact"/>
      </w:pPr>
      <w:r>
        <w:t xml:space="preserve">Produces trace &amp; cost artefacts.</w:t>
      </w:r>
    </w:p>
    <w:bookmarkEnd w:id="26"/>
    <w:bookmarkStart w:id="30" w:name="decision-governance"/>
    <w:p>
      <w:pPr>
        <w:pStyle w:val="Heading2"/>
      </w:pPr>
      <w:r>
        <w:t xml:space="preserve">6. Decision Governance</w:t>
      </w:r>
    </w:p>
    <w:bookmarkStart w:id="27" w:name="ownership"/>
    <w:p>
      <w:pPr>
        <w:pStyle w:val="Heading3"/>
      </w:pPr>
      <w:r>
        <w:t xml:space="preserve">6.1 Ownership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Contracts</w:t>
      </w:r>
      <w:r>
        <w:t xml:space="preserve"> </w:t>
      </w:r>
      <w:r>
        <w:t xml:space="preserve">(schemas, output formats): owned by Architecture/Platform team.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Domain knowledge content</w:t>
      </w:r>
      <w:r>
        <w:t xml:space="preserve"> </w:t>
      </w:r>
      <w:r>
        <w:t xml:space="preserve">(schema/components/patterns): owned by product engineering.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Run approvals</w:t>
      </w:r>
      <w:r>
        <w:t xml:space="preserve">: human‑in‑the‑loop for merge/deploy (outside orchestrator).</w:t>
      </w:r>
    </w:p>
    <w:bookmarkEnd w:id="27"/>
    <w:bookmarkStart w:id="28" w:name="when-to-use-consensus"/>
    <w:p>
      <w:pPr>
        <w:pStyle w:val="Heading3"/>
      </w:pPr>
      <w:r>
        <w:t xml:space="preserve">6.2 When to use consensus</w:t>
      </w:r>
    </w:p>
    <w:p>
      <w:pPr>
        <w:pStyle w:val="FirstParagraph"/>
      </w:pPr>
      <w:r>
        <w:t xml:space="preserve">Use multi‑model consensus when:</w:t>
      </w:r>
      <w:r>
        <w:t xml:space="preserve"> </w:t>
      </w:r>
      <w:r>
        <w:t xml:space="preserve">- architecture decisions impact multiple bounded contexts</w:t>
      </w:r>
      <w:r>
        <w:t xml:space="preserve"> </w:t>
      </w:r>
      <w:r>
        <w:t xml:space="preserve">- migration/refactor tasks can introduce systemic risk</w:t>
      </w:r>
    </w:p>
    <w:p>
      <w:pPr>
        <w:pStyle w:val="BodyText"/>
      </w:pPr>
      <w:r>
        <w:t xml:space="preserve">Otherwise use a single best‑fit model selected via routing rules.</w:t>
      </w:r>
    </w:p>
    <w:bookmarkEnd w:id="28"/>
    <w:bookmarkStart w:id="29" w:name="producerreviewer-loop"/>
    <w:p>
      <w:pPr>
        <w:pStyle w:val="Heading3"/>
      </w:pPr>
      <w:r>
        <w:t xml:space="preserve">6.3 Producer–Reviewer loop</w:t>
      </w:r>
    </w:p>
    <w:p>
      <w:pPr>
        <w:numPr>
          <w:ilvl w:val="0"/>
          <w:numId w:val="1013"/>
        </w:numPr>
        <w:pStyle w:val="Compact"/>
      </w:pPr>
      <w:r>
        <w:t xml:space="preserve">Producer generates artefact → Reviewer checks against criteria.</w:t>
      </w:r>
    </w:p>
    <w:p>
      <w:pPr>
        <w:numPr>
          <w:ilvl w:val="0"/>
          <w:numId w:val="1013"/>
        </w:numPr>
        <w:pStyle w:val="Compact"/>
      </w:pPr>
      <w:r>
        <w:t xml:space="preserve">If violations exist: feedback → regenerate.</w:t>
      </w:r>
    </w:p>
    <w:p>
      <w:pPr>
        <w:numPr>
          <w:ilvl w:val="0"/>
          <w:numId w:val="1013"/>
        </w:numPr>
        <w:pStyle w:val="Compact"/>
      </w:pPr>
      <w:r>
        <w:t xml:space="preserve">Stop conditions: approved OR max iterations OR budget exhausted.</w:t>
      </w:r>
    </w:p>
    <w:bookmarkEnd w:id="29"/>
    <w:bookmarkEnd w:id="30"/>
    <w:bookmarkStart w:id="34" w:name="knowledge-lifecycle"/>
    <w:p>
      <w:pPr>
        <w:pStyle w:val="Heading2"/>
      </w:pPr>
      <w:r>
        <w:t xml:space="preserve">7. Knowledge Lifecycle</w:t>
      </w:r>
    </w:p>
    <w:bookmarkStart w:id="31" w:name="versioning"/>
    <w:p>
      <w:pPr>
        <w:pStyle w:val="Heading3"/>
      </w:pPr>
      <w:r>
        <w:t xml:space="preserve">7.1 Versioning</w:t>
      </w:r>
    </w:p>
    <w:p>
      <w:pPr>
        <w:numPr>
          <w:ilvl w:val="0"/>
          <w:numId w:val="1014"/>
        </w:numPr>
        <w:pStyle w:val="Compact"/>
      </w:pPr>
      <w:r>
        <w:t xml:space="preserve">Knowledge base is versioned by:</w:t>
      </w:r>
    </w:p>
    <w:p>
      <w:pPr>
        <w:numPr>
          <w:ilvl w:val="1"/>
          <w:numId w:val="1015"/>
        </w:numPr>
        <w:pStyle w:val="Compact"/>
      </w:pPr>
      <w:r>
        <w:t xml:space="preserve">source commit hash (code/components)</w:t>
      </w:r>
    </w:p>
    <w:p>
      <w:pPr>
        <w:numPr>
          <w:ilvl w:val="1"/>
          <w:numId w:val="1015"/>
        </w:numPr>
        <w:pStyle w:val="Compact"/>
      </w:pPr>
      <w:r>
        <w:t xml:space="preserve">schema migration id / timestamp (database)</w:t>
      </w:r>
    </w:p>
    <w:p>
      <w:pPr>
        <w:numPr>
          <w:ilvl w:val="1"/>
          <w:numId w:val="1015"/>
        </w:numPr>
        <w:pStyle w:val="Compact"/>
      </w:pPr>
      <w:r>
        <w:t xml:space="preserve">ingestion config version</w:t>
      </w:r>
    </w:p>
    <w:bookmarkEnd w:id="31"/>
    <w:bookmarkStart w:id="32" w:name="invalidation-reindex-policy"/>
    <w:p>
      <w:pPr>
        <w:pStyle w:val="Heading3"/>
      </w:pPr>
      <w:r>
        <w:t xml:space="preserve">7.2 Invalidation &amp; Re‑index policy</w:t>
      </w:r>
    </w:p>
    <w:p>
      <w:pPr>
        <w:numPr>
          <w:ilvl w:val="0"/>
          <w:numId w:val="1016"/>
        </w:numPr>
        <w:pStyle w:val="Compact"/>
      </w:pPr>
      <w:r>
        <w:t xml:space="preserve">Re‑index triggered by:</w:t>
      </w:r>
    </w:p>
    <w:p>
      <w:pPr>
        <w:numPr>
          <w:ilvl w:val="1"/>
          <w:numId w:val="1017"/>
        </w:numPr>
        <w:pStyle w:val="Compact"/>
      </w:pPr>
      <w:r>
        <w:t xml:space="preserve">schema migrations</w:t>
      </w:r>
    </w:p>
    <w:p>
      <w:pPr>
        <w:numPr>
          <w:ilvl w:val="1"/>
          <w:numId w:val="1017"/>
        </w:numPr>
        <w:pStyle w:val="Compact"/>
      </w:pPr>
      <w:r>
        <w:t xml:space="preserve">changes under component library paths</w:t>
      </w:r>
    </w:p>
    <w:p>
      <w:pPr>
        <w:numPr>
          <w:ilvl w:val="1"/>
          <w:numId w:val="1017"/>
        </w:numPr>
        <w:pStyle w:val="Compact"/>
      </w:pPr>
      <w:r>
        <w:t xml:space="preserve">prompt/schema contract changes that alter retrieval semantics</w:t>
      </w:r>
    </w:p>
    <w:bookmarkEnd w:id="32"/>
    <w:bookmarkStart w:id="33" w:name="reproducibility"/>
    <w:p>
      <w:pPr>
        <w:pStyle w:val="Heading3"/>
      </w:pPr>
      <w:r>
        <w:t xml:space="preserve">7.3 Reproducibility</w:t>
      </w:r>
    </w:p>
    <w:p>
      <w:pPr>
        <w:pStyle w:val="FirstParagraph"/>
      </w:pPr>
      <w:r>
        <w:t xml:space="preserve">Each run records:</w:t>
      </w:r>
      <w:r>
        <w:t xml:space="preserve"> </w:t>
      </w:r>
      <w:r>
        <w:t xml:space="preserve">- knowledge version(s) used</w:t>
      </w:r>
      <w:r>
        <w:t xml:space="preserve"> </w:t>
      </w:r>
      <w:r>
        <w:t xml:space="preserve">- retrieved document ids</w:t>
      </w:r>
      <w:r>
        <w:t xml:space="preserve"> </w:t>
      </w:r>
      <w:r>
        <w:t xml:space="preserve">- prompt template version</w:t>
      </w:r>
      <w:r>
        <w:t xml:space="preserve"> </w:t>
      </w:r>
      <w:r>
        <w:t xml:space="preserve">- model/provider versions (when available)</w:t>
      </w:r>
    </w:p>
    <w:bookmarkEnd w:id="33"/>
    <w:bookmarkEnd w:id="34"/>
    <w:bookmarkStart w:id="37" w:name="quality-model"/>
    <w:p>
      <w:pPr>
        <w:pStyle w:val="Heading2"/>
      </w:pPr>
      <w:r>
        <w:t xml:space="preserve">8. Quality Model</w:t>
      </w:r>
    </w:p>
    <w:bookmarkStart w:id="35" w:name="dimensions"/>
    <w:p>
      <w:pPr>
        <w:pStyle w:val="Heading3"/>
      </w:pPr>
      <w:r>
        <w:t xml:space="preserve">8.1 Dimensions</w:t>
      </w:r>
    </w:p>
    <w:p>
      <w:pPr>
        <w:numPr>
          <w:ilvl w:val="0"/>
          <w:numId w:val="1018"/>
        </w:numPr>
        <w:pStyle w:val="Compact"/>
      </w:pPr>
      <w:r>
        <w:t xml:space="preserve">Correctness (functional)</w:t>
      </w:r>
    </w:p>
    <w:p>
      <w:pPr>
        <w:numPr>
          <w:ilvl w:val="0"/>
          <w:numId w:val="1018"/>
        </w:numPr>
        <w:pStyle w:val="Compact"/>
      </w:pPr>
      <w:r>
        <w:t xml:space="preserve">Domain alignment (only allowed entities/components)</w:t>
      </w:r>
    </w:p>
    <w:p>
      <w:pPr>
        <w:numPr>
          <w:ilvl w:val="0"/>
          <w:numId w:val="1018"/>
        </w:numPr>
        <w:pStyle w:val="Compact"/>
      </w:pPr>
      <w:r>
        <w:t xml:space="preserve">Maintainability (patterns, conventions)</w:t>
      </w:r>
    </w:p>
    <w:p>
      <w:pPr>
        <w:numPr>
          <w:ilvl w:val="0"/>
          <w:numId w:val="1018"/>
        </w:numPr>
        <w:pStyle w:val="Compact"/>
      </w:pPr>
      <w:r>
        <w:t xml:space="preserve">Security (OWASP‑aligned checks)</w:t>
      </w:r>
    </w:p>
    <w:p>
      <w:pPr>
        <w:numPr>
          <w:ilvl w:val="0"/>
          <w:numId w:val="1018"/>
        </w:numPr>
        <w:pStyle w:val="Compact"/>
      </w:pPr>
      <w:r>
        <w:t xml:space="preserve">Performance (N+1, caching, frontend perf)</w:t>
      </w:r>
    </w:p>
    <w:p>
      <w:pPr>
        <w:numPr>
          <w:ilvl w:val="0"/>
          <w:numId w:val="1018"/>
        </w:numPr>
        <w:pStyle w:val="Compact"/>
      </w:pPr>
      <w:r>
        <w:t xml:space="preserve">Test coverage (unit/integration targets)</w:t>
      </w:r>
    </w:p>
    <w:bookmarkEnd w:id="35"/>
    <w:bookmarkStart w:id="36" w:name="gates"/>
    <w:p>
      <w:pPr>
        <w:pStyle w:val="Heading3"/>
      </w:pPr>
      <w:r>
        <w:t xml:space="preserve">8.2 Gates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Schema validation gate</w:t>
      </w:r>
      <w:r>
        <w:t xml:space="preserve">: hard fail.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Compliance score gate</w:t>
      </w:r>
      <w:r>
        <w:t xml:space="preserve">: configurable threshold (e.g. ≥ 0.8).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Budget gate</w:t>
      </w:r>
      <w:r>
        <w:t xml:space="preserve">: stop when cost/token caps exceeded.</w:t>
      </w:r>
    </w:p>
    <w:bookmarkEnd w:id="36"/>
    <w:bookmarkEnd w:id="37"/>
    <w:bookmarkStart w:id="38" w:name="humanintheloop"/>
    <w:p>
      <w:pPr>
        <w:pStyle w:val="Heading2"/>
      </w:pPr>
      <w:r>
        <w:t xml:space="preserve">9. Human‑in‑the‑Loop</w:t>
      </w:r>
    </w:p>
    <w:p>
      <w:pPr>
        <w:pStyle w:val="FirstParagraph"/>
      </w:pPr>
      <w:r>
        <w:t xml:space="preserve">Recommended control points:</w:t>
      </w:r>
    </w:p>
    <w:p>
      <w:pPr>
        <w:numPr>
          <w:ilvl w:val="0"/>
          <w:numId w:val="1020"/>
        </w:numPr>
        <w:pStyle w:val="Compact"/>
      </w:pPr>
      <w:r>
        <w:t xml:space="preserve">After</w:t>
      </w:r>
      <w:r>
        <w:t xml:space="preserve"> </w:t>
      </w:r>
      <w:r>
        <w:rPr>
          <w:bCs/>
          <w:b/>
        </w:rPr>
        <w:t xml:space="preserve">Architecture</w:t>
      </w:r>
      <w:r>
        <w:t xml:space="preserve"> </w:t>
      </w:r>
      <w:r>
        <w:t xml:space="preserve">output (approve design direction)</w:t>
      </w:r>
    </w:p>
    <w:p>
      <w:pPr>
        <w:numPr>
          <w:ilvl w:val="0"/>
          <w:numId w:val="1020"/>
        </w:numPr>
        <w:pStyle w:val="Compact"/>
      </w:pPr>
      <w:r>
        <w:t xml:space="preserve">After</w:t>
      </w:r>
      <w:r>
        <w:t xml:space="preserve"> </w:t>
      </w:r>
      <w:r>
        <w:rPr>
          <w:bCs/>
          <w:b/>
        </w:rPr>
        <w:t xml:space="preserve">Task Breakdown</w:t>
      </w:r>
      <w:r>
        <w:t xml:space="preserve"> </w:t>
      </w:r>
      <w:r>
        <w:t xml:space="preserve">(approve scope/estimates)</w:t>
      </w:r>
    </w:p>
    <w:p>
      <w:pPr>
        <w:numPr>
          <w:ilvl w:val="0"/>
          <w:numId w:val="1020"/>
        </w:numPr>
        <w:pStyle w:val="Compact"/>
      </w:pPr>
      <w:r>
        <w:t xml:space="preserve">After</w:t>
      </w:r>
      <w:r>
        <w:t xml:space="preserve"> </w:t>
      </w:r>
      <w:r>
        <w:rPr>
          <w:bCs/>
          <w:b/>
        </w:rPr>
        <w:t xml:space="preserve">Implementation+Tests</w:t>
      </w:r>
      <w:r>
        <w:t xml:space="preserve"> </w:t>
      </w:r>
      <w:r>
        <w:t xml:space="preserve">(approve code before PR)</w:t>
      </w:r>
    </w:p>
    <w:bookmarkEnd w:id="38"/>
    <w:bookmarkStart w:id="39" w:name="references-into-specification"/>
    <w:p>
      <w:pPr>
        <w:pStyle w:val="Heading2"/>
      </w:pPr>
      <w:r>
        <w:t xml:space="preserve">10. References into Specification</w:t>
      </w:r>
    </w:p>
    <w:p>
      <w:pPr>
        <w:numPr>
          <w:ilvl w:val="0"/>
          <w:numId w:val="1021"/>
        </w:numPr>
        <w:pStyle w:val="Compact"/>
      </w:pPr>
      <w:r>
        <w:t xml:space="preserve">Normative technical contracts (schemas, API, lifecycle): see</w:t>
      </w:r>
      <w:r>
        <w:t xml:space="preserve"> </w:t>
      </w:r>
      <w:r>
        <w:rPr>
          <w:bCs/>
          <w:b/>
        </w:rPr>
        <w:t xml:space="preserve">Functional &amp; Technical Specification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Code snippets and examples: see</w:t>
      </w:r>
      <w:r>
        <w:t xml:space="preserve"> </w:t>
      </w:r>
      <w:r>
        <w:rPr>
          <w:bCs/>
          <w:b/>
        </w:rPr>
        <w:t xml:space="preserve">Domain‑Specific Code Examples</w:t>
      </w:r>
      <w:r>
        <w:t xml:space="preserve">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2026-02-08T22:38:35Z</dcterms:created>
  <dcterms:modified xsi:type="dcterms:W3CDTF">2026-02-08T22:38:35Z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