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0B6BE0"/>
          <w:sz w:val="20"/>
          <w:szCs w:val="20"/>
        </w:rPr>
        <w:t xml:space="preserve">교담 통합 AI 성장 플랫폼 개발 계약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b/>
          <w:bCs/>
          <w:color w:val="10192E"/>
          <w:sz w:val="36"/>
          <w:szCs w:val="36"/>
        </w:rPr>
        <w:t xml:space="preserve">계약 조항 초안 및 별첨 1·2</w:t>
      </w:r>
    </w:p>
    <w:p>
      <w:pPr>
        <w:pBdr>
          <w:top w:val="single" w:color="0B6BE0" w:sz="6" w:space="10"/>
        </w:pBdr>
        <w:spacing w:before="200"/>
        <w:jc w:val="center"/>
      </w:pPr>
      <w:r>
        <w:rPr>
          <w:rFonts w:ascii="맑은 고딕" w:cs="맑은 고딕" w:eastAsia="맑은 고딕" w:hAnsi="맑은 고딕"/>
          <w:color w:val="3D3D3D"/>
          <w:sz w:val="18"/>
          <w:szCs w:val="18"/>
        </w:rPr>
        <w:t xml:space="preserve">본 문서는 계약서 삽입용 조항 초안과 별첨1(과업지시서)·별첨2(유지보수 조건)으로 구성됩니다.</w:t>
      </w:r>
    </w:p>
    <w:p>
      <w:pPr>
        <w:spacing w:before="1200"/>
      </w:pPr>
    </w:p>
    <w:p>
      <w:pPr>
        <w:pBdr>
          <w:top w:val="single" w:color="B3261E" w:sz="4" w:space="8"/>
          <w:bottom w:val="single" w:color="F3C6C3" w:sz="2" w:space="8"/>
        </w:pBdr>
        <w:shd w:fill="FDECEA" w:val="clear"/>
        <w:spacing w:after="280" w:before="60"/>
      </w:pPr>
      <w:r>
        <w:rPr>
          <w:rFonts w:ascii="맑은 고딕" w:cs="맑은 고딕" w:eastAsia="맑은 고딕" w:hAnsi="맑은 고딕"/>
          <w:b/>
          <w:bCs/>
          <w:color w:val="B3261E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i/>
          <w:iCs/>
          <w:color w:val="6B2320"/>
          <w:sz w:val="19"/>
          <w:szCs w:val="19"/>
        </w:rPr>
        <w:t xml:space="preserve">본 문서는 실무 참고용 초안입니다. [ ] 표시된 부분은 협의 후 확정이 필요하며, 실제 계약 체결 전 반드시 법률 전문가(변호사)의 검토를 받으시기 바랍니다.</w:t>
      </w:r>
    </w:p>
    <w:p>
      <w:r>
        <w:br w:type="page"/>
      </w:r>
    </w:p>
    <w:p>
      <w:pPr>
        <w:pStyle w:val="Heading1"/>
        <w:pBdr>
          <w:bottom w:val="single" w:color="0B6BE0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0192E"/>
          <w:sz w:val="30"/>
          <w:szCs w:val="30"/>
        </w:rPr>
        <w:t xml:space="preserve">Ⅰ. 계약서 삽입용 조항 초안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아래 5개 조항을 사용 중인 계약서 양식의 해당 위치(과업범위·대금지급·계약이행보증·유지보수·부칙)에 맞게 삽입하시면 됩니다. 조 번호(제O조)는 기존 계약서의 조 번호 체계에 맞게 조정해 주세요.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0192E"/>
          <w:sz w:val="21"/>
          <w:szCs w:val="21"/>
        </w:rPr>
        <w:t xml:space="preserve">제O조 (과업의 범위)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① "을"이 "갑"에게 제공하는 용역의 과업범위는 별첨1(과업지시서)에 따른다.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② 별첨1은 본 계약 체결 당시 양 당사자가 합의한 과업범위를 기재한 것으로, 본 계약의 일부를 구성하며 본 계약과 동일한 효력을 가진다.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0192E"/>
          <w:sz w:val="21"/>
          <w:szCs w:val="21"/>
        </w:rPr>
        <w:t xml:space="preserve">제O조 (계약금액 및 대금지급)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① 본 계약의 총 계약금액(개발비)은 금 사십사백만원(₩44,000,000)으로 하며, 부가가치세는 [별도 / 포함]으로 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② 대금은 다음 각 호와 같이 선급금과 잔금의 2회로 구분하여 지급한다.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　　1. 선급금: 계약금액의 50%(금 이천이백만원, ₩22,000,000) — 계약 체결 및 "을"의 제O조(계약이행보증)에 따른 선급금보증보험증권 예치 후 지급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　　2. 잔금: 계약금액의 50%(금 이천이백만원, ₩22,000,000) — 전체 개발 완료 및 "갑"의 최종 검수 완료 후 지급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③ "을"은 각 지급 시기에 세금계산서를 발행하여 "갑"에게 청구하며, "갑"은 세금계산서 수령일(잔금의 경우 산출물 확인 후)로부터 [ ]영업일 이내에 "을"의 지정 계좌로 대금을 지급한다.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④ 유지보수비 및 외부 연동 서비스 실비는 본 조의 개발비와 별도로 하며, 별첨2(유지보수 조건)에 따라 청구·지급한다.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0192E"/>
          <w:sz w:val="21"/>
          <w:szCs w:val="21"/>
        </w:rPr>
        <w:t xml:space="preserve">제O조 (계약이행보증)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① "을"은 "갑"으로부터 지급받는 선급금의 반환을 담보하기 위하여, 선급금 수령 전까지 선급금 상당액(계약금액의 50%)을 보증금액으로 하고 "갑"을 피보험자로 하는 선급금보증보험증권을 "갑"에게 예치한다.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② 본 조의 보증은 선급금에 한하며, 잔금 등 산출물의 완료·검수 후 지급되는 대금에 대하여는 별도의 이행보증을 요하지 아니한다.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③ "갑"은 "을"의 고의 또는 중대한 과실로 본 계약이 해제·해지되어 선급금의 반환사유가 발생한 경우, "을"에게 [7]일 이상의 기간을 정하여 서면으로 반환을 최고한 후, 그 기간 내에 반환이 이루어지지 아니하면 제1항의 보증보험금을 청구할 수 있다.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④ 제1항의 보증에 관한 "을"의 책임은 제1항의 보증금액(선급금 상당액)을 한도로 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⑤ 제1항의 보증보험에 소요되는 비용은 "을"이 부담한다.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0192E"/>
          <w:sz w:val="21"/>
          <w:szCs w:val="21"/>
        </w:rPr>
        <w:t xml:space="preserve">제O조 (하자보수 및 유지보수)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① "을"은 본 용역의 최종 검수 완료일로부터 12개월간 무상으로 하자보수를 제공한다. 무상 하자보수는 "을"의 개발 과정에서 발생한 오류·결함의 수정을 대상으로 하며, 신규 기능 추가 및 운영상 요청 사항은 포함하지 아니한다.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② "갑"과 "을"은 최종 검수 완료(정식 오픈) 시점에 별도의 유지보수 계약을 체결한다. 유지보수는 제1항의 무상 하자보수 기간 종료 여부와 관계없이 검수 완료 즉시 개시하여 병행 진행하며, 무상 하자보수 기간이 끝난 뒤에 시작되는 것이 아니다.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③ 유지보수의 범위, 대응기준 및 비용은 별첨2(유지보수 조건)에 따른다.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④ 결제모듈(PG), 문자발송(SMS), AI/LLM 등 외부 연동 서비스 이용에 따라 발생하는 비용은 "을"이 계약 주체가 되어 우선 집행하고, 그 실비는 별첨2에서 정한 절차에 따라 "갑"에게 청구한다.</w:t>
      </w:r>
    </w:p>
    <w:p>
      <w:pPr>
        <w:spacing w:after="100" w:before="260"/>
      </w:pPr>
      <w:r>
        <w:rPr>
          <w:rFonts w:ascii="맑은 고딕" w:cs="맑은 고딕" w:eastAsia="맑은 고딕" w:hAnsi="맑은 고딕"/>
          <w:b/>
          <w:bCs/>
          <w:color w:val="10192E"/>
          <w:sz w:val="21"/>
          <w:szCs w:val="21"/>
        </w:rPr>
        <w:t xml:space="preserve">제O조 (별첨의 구성 및 효력)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① 본 계약은 다음 각 호의 별첨을 포함하며, 각 별첨은 본 계약과 일체를 이루어 본 계약과 동일한 법적 효력을 가진다.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　　1. 별첨1: 과업지시서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　　2. 별첨2: 유지보수 조건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② 본 계약 본문과 별첨의 내용이 상충하는 경우, 과업의 기술적 범위·사양에 관한 사항은 별첨이 우선하고, 그 외 법률적 사항은 본 계약 본문이 우선한다. (우선순위는 양 당사자 협의에 따라 반대로 정할 수 있음)</w:t>
      </w:r>
    </w:p>
    <w:p>
      <w:pPr>
        <w:spacing w:after="90" w:line="300"/>
        <w:ind w:left="200"/>
      </w:pPr>
      <w:r>
        <w:rPr>
          <w:rFonts w:ascii="맑은 고딕" w:cs="맑은 고딕" w:eastAsia="맑은 고딕" w:hAnsi="맑은 고딕"/>
          <w:color w:val="3D3D3D"/>
          <w:sz w:val="20"/>
          <w:szCs w:val="20"/>
        </w:rPr>
        <w:t xml:space="preserve">③ 별첨의 내용은 양 당사자의 서면 합의(변경확인서 등)로 개정할 수 있으며, 이 경우 본 계약 본문의 재체결을 요하지 않는다.</w:t>
      </w:r>
    </w:p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0B6BE0"/>
          <w:sz w:val="20"/>
          <w:szCs w:val="20"/>
        </w:rPr>
        <w:t xml:space="preserve">별첨 1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b/>
          <w:bCs/>
          <w:color w:val="10192E"/>
          <w:sz w:val="36"/>
          <w:szCs w:val="36"/>
        </w:rPr>
        <w:t xml:space="preserve">과업지시서</w:t>
      </w:r>
    </w:p>
    <w:p>
      <w:pPr>
        <w:pBdr>
          <w:top w:val="single" w:color="0B6BE0" w:sz="6" w:space="10"/>
        </w:pBdr>
        <w:spacing w:before="200"/>
        <w:jc w:val="center"/>
      </w:pPr>
      <w:r>
        <w:rPr>
          <w:rFonts w:ascii="맑은 고딕" w:cs="맑은 고딕" w:eastAsia="맑은 고딕" w:hAnsi="맑은 고딕"/>
          <w:color w:val="3D3D3D"/>
          <w:sz w:val="18"/>
          <w:szCs w:val="18"/>
        </w:rPr>
        <w:t xml:space="preserve">교담 통합 AI 성장 플랫폼 구축 — 일반 · 홈페이지 · 코칭센터 플랫폼 · 어드민 통합관리 4대 영역</w:t>
      </w:r>
    </w:p>
    <w:p>
      <w:pPr>
        <w:spacing w:before="1200"/>
      </w:pPr>
    </w:p>
    <w:p>
      <w:r>
        <w:br w:type="page"/>
      </w:r>
    </w:p>
    <w:p>
      <w:pPr>
        <w:pStyle w:val="Heading1"/>
        <w:pBdr>
          <w:bottom w:val="single" w:color="0B6BE0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0192E"/>
          <w:sz w:val="30"/>
          <w:szCs w:val="30"/>
        </w:rPr>
        <w:t xml:space="preserve">별첨1. 과업지시서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1. 목적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본 과업지시서는 「교담 통합 AI 성장 플랫폼」 구축을 위해 "을"이 수행할 업무의 범위와 내용을 정의하며, 본 계약 제O조(과업의 범위)에서 정한 별첨1로서 본 계약의 일부를 구성한다.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2. 과업 범위 개요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과업 범위는 다음 4대 영역으로 구분하며, 총 58개 세부업무로 구성된다.</w:t>
      </w:r>
    </w:p>
    <w:tbl>
      <w:tblPr>
        <w:tblW w:type="dxa" w:w="9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52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20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 수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1. 일반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특정 화면에 속하지 않고 전 영역에 공통 적용되는 인증·결제·데이터표준·디자인시스템·보안 등 기반 시스템과 정책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17개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2. 홈페이지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비회원도 열람 가능한 공개 진입 영역 — 소개, 회원가입, 전문가 탐색, 고객지원</w:t>
            </w:r>
          </w:p>
        </w:tc>
        <w:tc>
          <w:tcPr>
            <w:tcW w:type="dxa" w:w="20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8개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3. 코칭센터 플랫폼</w:t>
            </w:r>
          </w:p>
        </w:tc>
        <w:tc>
          <w:tcPr>
            <w:tcW w:type="dxa" w:w="5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검사·AI분석·매칭·화상코칭·정산이 이뤄지는 핵심 서비스 영역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21개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4. 어드민 통합관리</w:t>
            </w:r>
          </w:p>
        </w:tc>
        <w:tc>
          <w:tcPr>
            <w:tcW w:type="dxa" w:w="52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운영진이 사용하는 회원·결제·매칭·통계·콘텐츠 관리 백오피스 영역</w:t>
            </w:r>
          </w:p>
        </w:tc>
        <w:tc>
          <w:tcPr>
            <w:tcW w:type="dxa" w:w="20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12개</w:t>
            </w:r>
          </w:p>
        </w:tc>
      </w:tr>
    </w:tbl>
    <w:p>
      <w:pPr>
        <w:spacing w:after="160" w:line="300"/>
      </w:pPr>
      <w:r>
        <w:rPr>
          <w:rFonts w:ascii="맑은 고딕" w:cs="맑은 고딕" w:eastAsia="맑은 고딕" w:hAnsi="맑은 고딕"/>
          <w:i/>
          <w:iCs/>
          <w:color w:val="6B6B6B"/>
          <w:sz w:val="19"/>
          <w:szCs w:val="19"/>
        </w:rPr>
        <w:t xml:space="preserve">각 영역의 세부 업무 목록은 아래 3항과 같으며, 항목별 상세 개발 방식은 "을"이 별도 제출하는 세부 개발계획서에 따른다.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3. 영역별 세부 업무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0192E"/>
          <w:sz w:val="20"/>
          <w:szCs w:val="20"/>
        </w:rPr>
        <w:t xml:space="preserve">3.1 일반 (공통 인프라 및 정책)</w:t>
      </w:r>
    </w:p>
    <w:tbl>
      <w:tblPr>
        <w:tblW w:type="dxa" w:w="9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500"/>
        <w:gridCol w:w="2600"/>
        <w:gridCol w:w="4638"/>
        <w:gridCol w:w="1900"/>
      </w:tblGrid>
      <w:tr>
        <w:trPr>
          <w:tblHeader/>
        </w:trPr>
        <w:tc>
          <w:tcPr>
            <w:tcW w:type="dxa" w:w="5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</w:t>
            </w:r>
          </w:p>
        </w:tc>
        <w:tc>
          <w:tcPr>
            <w:tcW w:type="dxa" w:w="46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사용자 유형×등급 권한 매트릭스 설계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유형 6종(학생·학부모·코치[센터/개인]·학교·센터·기관) × 등급 4단계(비회원~평생) DB/권한테이블 설계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요구2,3,6,7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2FA 인증 시스템 구축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네이버클라우드 SENS 확정 연동, 인증번호 발급/검증/잠금 로직, 인증이력 로그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확정(SMS:네이버)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결제 인프라 연동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PG사 토스페이먼츠 확정 — 결제위젯, 결제수단 API, 웹훅, 환불 API, 세금계산서 연동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확정(PG:토스페이먼츠)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결제·정산 정책 확정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검사신청 결제방식 및 상품코드, 정산배치 로직(첫달 50% 대행→2개월차 직접결제)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데이터 표준코드 설계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지역(17개 시도교육청)·인력등급 코드테이블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요구11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UI/UX 디자인시스템 구축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컬러팔레트, 타이포그래피, 반응형 가이드, 공통 컴포넌트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요구4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회원분류체계 데이터모델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학습센터/개인코치 분류, 매칭·정산 방식 분기로직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요구6,7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진단결과 데이터 귀속 정책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개인코치/센터/본사 귀속 기준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확정사항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평생회원 정책 반영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유효기간·갱신·전환강제 정책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확정사항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14세 미만 개인정보 동의 처리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법정대리인 동의 절차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 분석엔진 인프라 셋업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CODEX API 연동, LLM 셋업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확정(비용:실비청구)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보안 강화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암호화·접근권한·다운로드로그·이상탐지·마스킹·백업·삭제정책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성장리포트 데이터믹스 로직 자문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온/오프 데이터 결합 알고리즘 — 자문 필요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진로역량검사 로직 검토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학습역량검사 대비 세부 로직 차이 검토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외부 연동 서비스 비용 정책 확정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PG·SMS·LLM 등 개발사 계약주체, 실비 정산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확정사항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계약 시점 및 계약 방법 정리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8월 내 논의·정리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외부 연동 서비스 실비 정산 관리 체계 구축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서비스별 사용량 로깅·집계, 비용모니터링 근거자료화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신규(비용관리)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0192E"/>
          <w:sz w:val="20"/>
          <w:szCs w:val="20"/>
        </w:rPr>
        <w:t xml:space="preserve">3.2 홈페이지</w:t>
      </w:r>
    </w:p>
    <w:tbl>
      <w:tblPr>
        <w:tblW w:type="dxa" w:w="9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500"/>
        <w:gridCol w:w="2600"/>
        <w:gridCol w:w="4638"/>
        <w:gridCol w:w="1900"/>
      </w:tblGrid>
      <w:tr>
        <w:trPr>
          <w:tblHeader/>
        </w:trPr>
        <w:tc>
          <w:tcPr>
            <w:tcW w:type="dxa" w:w="5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</w:t>
            </w:r>
          </w:p>
        </w:tc>
        <w:tc>
          <w:tcPr>
            <w:tcW w:type="dxa" w:w="46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메인/소개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회사소개, 프로그램소개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요구4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로그인/회원가입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일반+간편로그인, 유형별 분기, 2FA 연동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요구2,3,7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예약/신청 진입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검사신청→결제 플로우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요구5,8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전문가 찾기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코치 리스트(등급순), 센터/개인 구분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요구6,11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통합검색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지역 필터, 가나다순 정렬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요구11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고객센터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공지/알림/자료실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기존 유지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홈페이지 라이트테마 시안 제작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메인/서브 페이지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요구4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메인페이지 시안 제작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모바일/데스크톱 메인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요구4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0192E"/>
          <w:sz w:val="20"/>
          <w:szCs w:val="20"/>
        </w:rPr>
        <w:t xml:space="preserve">3.3 코칭센터 플랫폼</w:t>
      </w:r>
    </w:p>
    <w:tbl>
      <w:tblPr>
        <w:tblW w:type="dxa" w:w="9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500"/>
        <w:gridCol w:w="2600"/>
        <w:gridCol w:w="4638"/>
        <w:gridCol w:w="1900"/>
      </w:tblGrid>
      <w:tr>
        <w:trPr>
          <w:tblHeader/>
        </w:trPr>
        <w:tc>
          <w:tcPr>
            <w:tcW w:type="dxa" w:w="5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</w:t>
            </w:r>
          </w:p>
        </w:tc>
        <w:tc>
          <w:tcPr>
            <w:tcW w:type="dxa" w:w="46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검사/진단 신청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결제연동, 등급별 접근제어, 인적사항 등록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요구2,8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 진행 자동저장/이어하기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응답 단위 autosave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 예약 알림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문자·알림톡 자동발송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검사결과 리포트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기본/AI분석보고서(평생전용)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 분석결과 기능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PDF 다운로드, 이력관리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 학습비서(Chat Assistant)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검사결과 기반 질의응답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성장리포트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온/오프 데이터 믹스, PDF 출력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요구9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오프라인 결과 입력화면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코치/센터용 입력폼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요구9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코칭 매칭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AI추천/검색/예약, 대면·화상 선택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매칭 스코어링 로직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지역·등급·잔여슬롯·평점 기반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매칭확정 플로우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24시간 확정, 미합의 시 재선택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확정사항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코치 비교 기능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지역/경력/비용 등 비교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즐겨찾기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관심 코치/센터 저장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Zoom 연동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로그인화면, 링크 등록/전달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나의 코칭센터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역할별 대시보드, 정산내역 조회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요구2,5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센터 소속코치 등록·관리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센터관리자용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요구6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개인코치 프로필 관리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교육이력·자격증·비용·등급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센터/개인 실적 대시보드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집계 통계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요구6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학부모 상담예약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캘린더 기반 실시간 예약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코칭센터 대시보드 라이트테마 시안 제작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대시보드 UI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요구4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매칭 노쇼/재예약 정책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환불·쿠폰 정책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0192E"/>
          <w:sz w:val="20"/>
          <w:szCs w:val="20"/>
        </w:rPr>
        <w:t xml:space="preserve">3.4 어드민 통합관리</w:t>
      </w:r>
    </w:p>
    <w:tbl>
      <w:tblPr>
        <w:tblW w:type="dxa" w:w="9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500"/>
        <w:gridCol w:w="2600"/>
        <w:gridCol w:w="4638"/>
        <w:gridCol w:w="1900"/>
      </w:tblGrid>
      <w:tr>
        <w:trPr>
          <w:tblHeader/>
        </w:trPr>
        <w:tc>
          <w:tcPr>
            <w:tcW w:type="dxa" w:w="5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</w:t>
            </w:r>
          </w:p>
        </w:tc>
        <w:tc>
          <w:tcPr>
            <w:tcW w:type="dxa" w:w="46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9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회원/권한 관리 화면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매트릭스 관리, 로그 조회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요구2,3,7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결제/정산 관리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결제내역, 정산배치 조회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요구5,8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매칭 현황 모니터링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상태별 현황, 로그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요구11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데이터 분석 화면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지역·등급별 통계, T점수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요구11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 통계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자연어 입력 기반 자동분석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 프롬프트 데이터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자연어입력+다운로드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오픈이슈(권한범위)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콘텐츠/리포트 관리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파라미터 관리, 템플릿 관리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요구1,9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Zoom 연동 관리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API키·예약현황 모니터링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AI 고객응대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FAQ 챗봇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계약관리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센터계약 자동만료·알림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전자계약</w:t>
            </w:r>
          </w:p>
        </w:tc>
        <w:tc>
          <w:tcPr>
            <w:tcW w:type="dxa" w:w="4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코치계약 전자서명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</w:t>
            </w:r>
          </w:p>
        </w:tc>
      </w:tr>
      <w:tr>
        <w:tc>
          <w:tcPr>
            <w:tcW w:type="dxa" w:w="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외부 서비스 비용 모니터링 대시보드</w:t>
            </w:r>
          </w:p>
        </w:tc>
        <w:tc>
          <w:tcPr>
            <w:tcW w:type="dxa" w:w="4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PG·SMS·LLM 실비 집계 조회</w:t>
            </w:r>
          </w:p>
        </w:tc>
        <w:tc>
          <w:tcPr>
            <w:tcW w:type="dxa" w:w="19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신규(비용관리)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4. 과업 범위 변경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과업 진행 중 요구사항 추가·변경이 필요한 경우 양 당사자는 서면(변경확인서)으로 합의하며, 이 경우 일정 및 대금에 미치는 영향을 함께 협의한다.</w:t>
      </w:r>
    </w:p>
    <w:p>
      <w:r>
        <w:br w:type="page"/>
      </w:r>
    </w:p>
    <w:p>
      <w:pPr>
        <w:spacing w:before="1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0B6BE0"/>
          <w:sz w:val="20"/>
          <w:szCs w:val="20"/>
        </w:rPr>
        <w:t xml:space="preserve">별첨 2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b/>
          <w:bCs/>
          <w:color w:val="10192E"/>
          <w:sz w:val="36"/>
          <w:szCs w:val="36"/>
        </w:rPr>
        <w:t xml:space="preserve">유지보수 조건</w:t>
      </w:r>
    </w:p>
    <w:p>
      <w:pPr>
        <w:pBdr>
          <w:top w:val="single" w:color="0B6BE0" w:sz="6" w:space="10"/>
        </w:pBdr>
        <w:spacing w:before="200"/>
        <w:jc w:val="center"/>
      </w:pPr>
      <w:r>
        <w:rPr>
          <w:rFonts w:ascii="맑은 고딕" w:cs="맑은 고딕" w:eastAsia="맑은 고딕" w:hAnsi="맑은 고딕"/>
          <w:color w:val="3D3D3D"/>
          <w:sz w:val="18"/>
          <w:szCs w:val="18"/>
        </w:rPr>
        <w:t xml:space="preserve">무상 하자보수와 유지보수 계약(병행 진행) 및 외부 연동 서비스 실비 정산 절차</w:t>
      </w:r>
    </w:p>
    <w:p>
      <w:pPr>
        <w:spacing w:before="1200"/>
      </w:pPr>
    </w:p>
    <w:p>
      <w:r>
        <w:br w:type="page"/>
      </w:r>
    </w:p>
    <w:p>
      <w:pPr>
        <w:pStyle w:val="Heading1"/>
        <w:pBdr>
          <w:bottom w:val="single" w:color="0B6BE0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0192E"/>
          <w:sz w:val="30"/>
          <w:szCs w:val="30"/>
        </w:rPr>
        <w:t xml:space="preserve">별첨2. 유지보수 조건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1. 무상 하자보수와 유지보수의 관계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무상 하자보수와 유지보수는 목적과 범위가 다른 별개의 사항으로, 유지보수는 무상 하자보수 기간이 종료된 뒤 시작되는 것이 아니라 검수 완료(정식 오픈) 즉시 개시되어 무상 하자보수 기간과 병행하여 진행된다.</w:t>
      </w:r>
    </w:p>
    <w:tbl>
      <w:tblPr>
        <w:tblW w:type="dxa" w:w="8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400"/>
        <w:gridCol w:w="3200"/>
        <w:gridCol w:w="3038"/>
      </w:tblGrid>
      <w:tr>
        <w:trPr>
          <w:tblHeader/>
        </w:trPr>
        <w:tc>
          <w:tcPr>
            <w:tcW w:type="dxa" w:w="24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2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무상 하자보수</w:t>
            </w:r>
          </w:p>
        </w:tc>
        <w:tc>
          <w:tcPr>
            <w:tcW w:type="dxa" w:w="30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유지보수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성격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무상 (개발 계약에 포함)</w:t>
            </w: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유상 (별도 계약)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개시 시점</w:t>
            </w:r>
          </w:p>
        </w:tc>
        <w:tc>
          <w:tcPr>
            <w:tcW w:type="dxa" w:w="3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검수 완료일</w:t>
            </w:r>
          </w:p>
        </w:tc>
        <w:tc>
          <w:tcPr>
            <w:tcW w:type="dxa" w:w="30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검수 완료(정식 오픈) 즉시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기간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검수 완료일로부터 12개월</w:t>
            </w: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유지보수 계약에서 정한 기간 (통상 1년 단위 갱신)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대상</w:t>
            </w:r>
          </w:p>
        </w:tc>
        <w:tc>
          <w:tcPr>
            <w:tcW w:type="dxa" w:w="3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"을"의 개발 과정에서 발생한 오류·결함</w:t>
            </w:r>
          </w:p>
        </w:tc>
        <w:tc>
          <w:tcPr>
            <w:tcW w:type="dxa" w:w="30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기능 개선, 콘텐츠 업데이트, 운영 지원, 장애 대응 등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2. 무상 하자보수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"을"은 최종 검수 완료일로부터 12개월간 무상으로 하자보수를 제공한다. 무상 하자보수는 "을"의 개발 과정에서 발생한 오류·결함의 수정을 대상으로 하며, 신규 기능 추가나 "갑"의 운영상 요청 사항은 포함하지 아니한다.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3. 유지보수 계약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"갑"과 "을"은 검수 완료(정식 오픈) 시점에 별도의 유지보수 계약을 체결하며, 유지보수는 다음 각 호를 포함한다.</w:t>
      </w:r>
    </w:p>
    <w:p>
      <w:pPr>
        <w:spacing w:after="90" w:line="290"/>
        <w:ind w:left="260"/>
      </w:pPr>
      <w:r>
        <w:rPr>
          <w:rFonts w:ascii="맑은 고딕" w:cs="맑은 고딕" w:eastAsia="맑은 고딕" w:hAnsi="맑은 고딕"/>
          <w:b/>
          <w:bCs/>
          <w:color w:val="0B6BE0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기능 개선 및 경미한 화면 수정</w:t>
      </w:r>
    </w:p>
    <w:p>
      <w:pPr>
        <w:spacing w:after="90" w:line="290"/>
        <w:ind w:left="260"/>
      </w:pPr>
      <w:r>
        <w:rPr>
          <w:rFonts w:ascii="맑은 고딕" w:cs="맑은 고딕" w:eastAsia="맑은 고딕" w:hAnsi="맑은 고딕"/>
          <w:b/>
          <w:bCs/>
          <w:color w:val="0B6BE0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장애 대응 (단, 개발 결함으로 인한 오류는 제2항의 무상 하자보수가 우선 적용되어 무상 처리)</w:t>
      </w:r>
    </w:p>
    <w:p>
      <w:pPr>
        <w:spacing w:after="90" w:line="290"/>
        <w:ind w:left="260"/>
      </w:pPr>
      <w:r>
        <w:rPr>
          <w:rFonts w:ascii="맑은 고딕" w:cs="맑은 고딕" w:eastAsia="맑은 고딕" w:hAnsi="맑은 고딕"/>
          <w:b/>
          <w:bCs/>
          <w:color w:val="0B6BE0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콘텐츠(검사 문항·워크북 등) 업데이트 지원</w:t>
      </w:r>
    </w:p>
    <w:p>
      <w:pPr>
        <w:spacing w:after="90" w:line="290"/>
        <w:ind w:left="260"/>
      </w:pPr>
      <w:r>
        <w:rPr>
          <w:rFonts w:ascii="맑은 고딕" w:cs="맑은 고딕" w:eastAsia="맑은 고딕" w:hAnsi="맑은 고딕"/>
          <w:b/>
          <w:bCs/>
          <w:color w:val="0B6BE0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신규 검사군(진로역량검사, 심리/적성검사 등) 추가는 유지보수 범위 밖의 별도 개발 협의 사항으로 한다.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color w:val="3D3D3D"/>
          <w:sz w:val="21"/>
          <w:szCs w:val="21"/>
        </w:rPr>
        <w:t xml:space="preserve">월 유지보수료: 금 [　　　　　]원 (부가가치세 별도) — 협의 후 확정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4. 장애 대응 체계</w:t>
      </w:r>
    </w:p>
    <w:tbl>
      <w:tblPr>
        <w:tblW w:type="dxa" w:w="96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2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42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 기준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긴급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서비스 전체 또는 핵심 기능(결제, 로그인 등) 장애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[ ]시간 이내 대응 착수</w:t>
            </w:r>
          </w:p>
        </w:tc>
      </w:tr>
      <w:tr>
        <w:tc>
          <w:tcPr>
            <w:tcW w:type="dxa" w:w="2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일반</w:t>
            </w:r>
          </w:p>
        </w:tc>
        <w:tc>
          <w:tcPr>
            <w:tcW w:type="dxa" w:w="3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그 외 기능 오류, UI 개선 요청 등</w:t>
            </w:r>
          </w:p>
        </w:tc>
        <w:tc>
          <w:tcPr>
            <w:tcW w:type="dxa" w:w="42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[ ]영업일 이내 대응 착수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5. 외부 연동 서비스 비용 및 실비 정산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PG(토스페이먼츠), SMS(네이버클라우드 SENS), AI/LLM API, Zoom, 전자서명 등 플랫폼 운영에 필요한 외부 연동 서비스는 "을"이 계약 주체가 되어 우선 집행한다. 해당 서비스 사용에 따른 실비는 아래 절차에 따라 "갑"에게 청구한다.</w:t>
      </w:r>
    </w:p>
    <w:tbl>
      <w:tblPr>
        <w:tblW w:type="dxa" w:w="9038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400"/>
        <w:gridCol w:w="6638"/>
      </w:tblGrid>
      <w:tr>
        <w:trPr>
          <w:tblHeader/>
        </w:trPr>
        <w:tc>
          <w:tcPr>
            <w:tcW w:type="dxa" w:w="2400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638"/>
            <w:shd w:fill="1019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PG 결제수수료, SMS 발송비용, LLM/AI API 사용료, Zoom, 전자서명 서비스 등 사용량 기반 과금 서비스 일체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집행 주체</w:t>
            </w:r>
          </w:p>
        </w:tc>
        <w:tc>
          <w:tcPr>
            <w:tcW w:type="dxa" w:w="6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"을"(개발사)이 계약 체결 및 비용 우선 집행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정산 주기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매월 1회 (전월 사용분 기준)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정산 절차</w:t>
            </w:r>
          </w:p>
        </w:tc>
        <w:tc>
          <w:tcPr>
            <w:tcW w:type="dxa" w:w="6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매월 말 사용량 마감 → 서비스별 실비 산출 → 익월 [ ]일까지 사용내역·증빙자료 제공 → "갑" 검토 → 유지보수비와 함께 세금계산서 발행·청구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증빙자료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서비스별 사용량 로그, 각 서비스사(토스페이먼츠·네이버클라우드 등) 청구내역서 사본</w:t>
            </w:r>
          </w:p>
        </w:tc>
      </w:tr>
      <w:tr>
        <w:tc>
          <w:tcPr>
            <w:tcW w:type="dxa" w:w="24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모니터링</w:t>
            </w:r>
          </w:p>
        </w:tc>
        <w:tc>
          <w:tcPr>
            <w:tcW w:type="dxa" w:w="6638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D3D3D"/>
                <w:sz w:val="17"/>
                <w:szCs w:val="17"/>
              </w:rPr>
              <w:t xml:space="preserve">어드민 시스템 내 "외부 서비스 비용 모니터링 대시보드"를 통해 "갑"이 사용량·비용 추이를 상시 확인 가능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B6BE0"/>
          <w:sz w:val="22"/>
          <w:szCs w:val="22"/>
        </w:rPr>
        <w:t xml:space="preserve">6. 정산 이의 절차</w:t>
      </w:r>
    </w:p>
    <w:p>
      <w:pPr>
        <w:spacing w:after="160" w:line="300"/>
      </w:pPr>
      <w:r>
        <w:rPr>
          <w:rFonts w:ascii="맑은 고딕" w:cs="맑은 고딕" w:eastAsia="맑은 고딕" w:hAnsi="맑은 고딕"/>
          <w:color w:val="3D3D3D"/>
          <w:sz w:val="21"/>
          <w:szCs w:val="21"/>
        </w:rPr>
        <w:t xml:space="preserve">"갑"은 정산 내역 수령 후 [ ]영업일 이내에 서면으로 이의를 제기할 수 있으며, 이 기간 내 이의가 없는 경우 해당 정산 내역은 확정된 것으로 본다.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</w:pPr>
    <w:r>
      <w:rPr>
        <w:rFonts w:ascii="맑은 고딕" w:cs="맑은 고딕" w:eastAsia="맑은 고딕" w:hAnsi="맑은 고딕"/>
        <w:color w:val="6B6B6B"/>
        <w:sz w:val="16"/>
        <w:szCs w:val="16"/>
      </w:rPr>
      <w:t xml:space="preserve">교담 통합 AI 성장 플랫폼 개발 계약 — 조항 초안 및 별첨1·2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D3D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2026-08-27T09:07:10.192Z</dcterms:created>
  <dcterms:modified xsi:type="dcterms:W3CDTF">2026-08-27T09:07:10.192Z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