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48"/>
          <w:szCs w:val="48"/>
          <w:rtl w:val="0"/>
        </w:rPr>
        <w:t xml:space="preserve">Image-Based 3D Reconstruction of Traditional Thai Pottery</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default"/>
          <w:footerReference r:id="rId7" w:type="first"/>
          <w:footerReference r:id="rId8" w:type="even"/>
          <w:pgSz w:h="16838" w:w="11906" w:orient="portrait"/>
          <w:pgMar w:bottom="1440" w:top="540" w:left="893" w:right="893" w:header="0" w:footer="720"/>
          <w:pgNumType w:start="1"/>
          <w:titlePg w:val="1"/>
        </w:sectPr>
      </w:pPr>
      <w:r w:rsidDel="00000000" w:rsidR="00000000" w:rsidRPr="00000000">
        <w:rPr>
          <w:rtl w:val="0"/>
        </w:rPr>
      </w:r>
    </w:p>
    <w:p w:rsidR="00000000" w:rsidDel="00000000" w:rsidP="00000000" w:rsidRDefault="00000000" w:rsidRPr="00000000" w14:paraId="00000003">
      <w:pPr>
        <w:spacing w:after="40" w:lineRule="auto"/>
        <w:rPr>
          <w:i w:val="1"/>
          <w:iCs w:val="1"/>
          <w:sz w:val="18"/>
          <w:szCs w:val="18"/>
        </w:rPr>
      </w:pPr>
      <w:r w:rsidDel="00000000" w:rsidR="00000000" w:rsidRPr="00000000">
        <w:rPr>
          <w:sz w:val="18"/>
          <w:szCs w:val="18"/>
          <w:rtl w:val="0"/>
        </w:rPr>
        <w:t xml:space="preserve">1</w:t>
      </w:r>
      <w:r w:rsidDel="00000000" w:rsidR="00000000" w:rsidRPr="00000000">
        <w:rPr>
          <w:sz w:val="18"/>
          <w:szCs w:val="18"/>
          <w:vertAlign w:val="superscript"/>
          <w:rtl w:val="0"/>
        </w:rPr>
        <w:t xml:space="preserve">st</w:t>
      </w:r>
      <w:r w:rsidDel="00000000" w:rsidR="00000000" w:rsidRPr="00000000">
        <w:rPr>
          <w:sz w:val="18"/>
          <w:szCs w:val="18"/>
          <w:rtl w:val="0"/>
        </w:rPr>
        <w:t xml:space="preserve"> Sai Aike Shwe Tun Aung</w:t>
      </w:r>
      <w:r w:rsidDel="00000000" w:rsidR="00000000" w:rsidRPr="00000000">
        <w:rPr>
          <w:sz w:val="18"/>
          <w:szCs w:val="18"/>
          <w:rtl w:val="0"/>
        </w:rPr>
        <w:br w:type="textWrapping"/>
      </w:r>
      <w:r w:rsidDel="00000000" w:rsidR="00000000" w:rsidRPr="00000000">
        <w:rPr>
          <w:i w:val="1"/>
          <w:iCs w:val="1"/>
          <w:sz w:val="18"/>
          <w:szCs w:val="18"/>
          <w:rtl w:val="0"/>
        </w:rPr>
        <w:t xml:space="preserve">Vincent Mary School of Science, Engineering and Technology</w:t>
      </w:r>
      <w:r w:rsidDel="00000000" w:rsidR="00000000" w:rsidRPr="00000000">
        <w:rPr>
          <w:sz w:val="18"/>
          <w:szCs w:val="18"/>
          <w:rtl w:val="0"/>
        </w:rPr>
        <w:br w:type="textWrapping"/>
      </w:r>
      <w:r w:rsidDel="00000000" w:rsidR="00000000" w:rsidRPr="00000000">
        <w:rPr>
          <w:i w:val="1"/>
          <w:iCs w:val="1"/>
          <w:sz w:val="18"/>
          <w:szCs w:val="18"/>
          <w:rtl w:val="0"/>
        </w:rPr>
        <w:t xml:space="preserve">Suvarnabhumi Campus, Assumption University of Thailand </w:t>
      </w:r>
    </w:p>
    <w:p w:rsidR="00000000" w:rsidDel="00000000" w:rsidP="00000000" w:rsidRDefault="00000000" w:rsidRPr="00000000" w14:paraId="00000004">
      <w:pPr>
        <w:spacing w:after="40" w:lineRule="auto"/>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Samut Prakan, Thailand</w:t>
      </w:r>
      <w:r w:rsidDel="00000000" w:rsidR="00000000" w:rsidRPr="00000000">
        <w:rPr>
          <w:sz w:val="18"/>
          <w:szCs w:val="18"/>
          <w:rtl w:val="0"/>
        </w:rPr>
        <w:br w:type="textWrapping"/>
        <w:t xml:space="preserve">u6712122@au.edu</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1"/>
          <w:iCs w:val="1"/>
          <w:sz w:val="18"/>
          <w:szCs w:val="18"/>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Ekaterina Kazakova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i w:val="1"/>
          <w:iCs w:val="1"/>
          <w:sz w:val="18"/>
          <w:szCs w:val="18"/>
          <w:rtl w:val="0"/>
        </w:rPr>
        <w:t xml:space="preserve">Vincent Mary School of Science, Engineering and Technology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i w:val="1"/>
          <w:iCs w:val="1"/>
          <w:sz w:val="18"/>
          <w:szCs w:val="18"/>
          <w:rtl w:val="0"/>
        </w:rPr>
        <w:t xml:space="preserve">Suvarnabhumi Campus, Assumption University of Thailand </w:t>
      </w:r>
    </w:p>
    <w:p w:rsidR="00000000" w:rsidDel="00000000" w:rsidP="00000000" w:rsidRDefault="00000000" w:rsidRPr="00000000" w14:paraId="00000006">
      <w:pPr>
        <w:spacing w:after="40" w:lineRule="auto"/>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Samut Prakan, Thailand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u672006@au.edu</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1"/>
          <w:iCs w:val="1"/>
          <w:sz w:val="18"/>
          <w:szCs w:val="18"/>
        </w:rPr>
      </w:pPr>
      <w:r w:rsidDel="00000000" w:rsidR="00000000" w:rsidRPr="00000000">
        <w:br w:type="column"/>
      </w:r>
      <w:r w:rsidDel="00000000" w:rsidR="00000000" w:rsidRPr="00000000">
        <w:rPr>
          <w:sz w:val="18"/>
          <w:szCs w:val="18"/>
          <w:rtl w:val="0"/>
        </w:rPr>
        <w:t xml:space="preserve">3</w:t>
      </w:r>
      <w:r w:rsidDel="00000000" w:rsidR="00000000" w:rsidRPr="00000000">
        <w:rPr>
          <w:sz w:val="18"/>
          <w:szCs w:val="18"/>
          <w:vertAlign w:val="superscript"/>
          <w:rtl w:val="0"/>
        </w:rPr>
        <w:t xml:space="preserve">rd</w:t>
      </w:r>
      <w:r w:rsidDel="00000000" w:rsidR="00000000" w:rsidRPr="00000000">
        <w:rPr>
          <w:sz w:val="18"/>
          <w:szCs w:val="18"/>
          <w:rtl w:val="0"/>
        </w:rPr>
        <w:t xml:space="preserve"> Kyaw Thi Ha</w:t>
      </w:r>
      <w:r w:rsidDel="00000000" w:rsidR="00000000" w:rsidRPr="00000000">
        <w:rPr>
          <w:sz w:val="18"/>
          <w:szCs w:val="18"/>
          <w:rtl w:val="0"/>
        </w:rPr>
        <w:br w:type="textWrapping"/>
      </w:r>
      <w:r w:rsidDel="00000000" w:rsidR="00000000" w:rsidRPr="00000000">
        <w:rPr>
          <w:i w:val="1"/>
          <w:iCs w:val="1"/>
          <w:sz w:val="18"/>
          <w:szCs w:val="18"/>
          <w:rtl w:val="0"/>
        </w:rPr>
        <w:t xml:space="preserve">Vincent Mary School of Science, Engineering and Technology</w:t>
      </w:r>
      <w:r w:rsidDel="00000000" w:rsidR="00000000" w:rsidRPr="00000000">
        <w:rPr>
          <w:sz w:val="18"/>
          <w:szCs w:val="18"/>
          <w:rtl w:val="0"/>
        </w:rPr>
        <w:br w:type="textWrapping"/>
      </w:r>
      <w:r w:rsidDel="00000000" w:rsidR="00000000" w:rsidRPr="00000000">
        <w:rPr>
          <w:i w:val="1"/>
          <w:iCs w:val="1"/>
          <w:sz w:val="18"/>
          <w:szCs w:val="18"/>
          <w:rtl w:val="0"/>
        </w:rPr>
        <w:t xml:space="preserve">Suvarnabhumi Campus, Assumption University of Thailand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540" w:left="893" w:right="893" w:header="0" w:footer="720"/>
          <w:cols w:equalWidth="0" w:num="3">
            <w:col w:space="720" w:w="2893.333333333333"/>
            <w:col w:space="720" w:w="2893.333333333333"/>
            <w:col w:space="0" w:w="2893.333333333333"/>
          </w:cols>
          <w:titlePg w:val="1"/>
        </w:sectPr>
      </w:pPr>
      <w:r w:rsidDel="00000000" w:rsidR="00000000" w:rsidRPr="00000000">
        <w:rPr>
          <w:sz w:val="18"/>
          <w:szCs w:val="18"/>
          <w:rtl w:val="0"/>
        </w:rPr>
        <w:t xml:space="preserve">Samut Prakan, Thailand</w:t>
      </w:r>
      <w:r w:rsidDel="00000000" w:rsidR="00000000" w:rsidRPr="00000000">
        <w:rPr>
          <w:sz w:val="18"/>
          <w:szCs w:val="18"/>
          <w:rtl w:val="0"/>
        </w:rPr>
        <w:br w:type="textWrapping"/>
        <w:t xml:space="preserve">u6715088@au.edu</w:t>
      </w: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spacing w:after="0" w:before="0" w:lineRule="auto"/>
        <w:rPr/>
        <w:sectPr>
          <w:type w:val="continuous"/>
          <w:pgSz w:h="16838" w:w="11906" w:orient="portrait"/>
          <w:pgMar w:bottom="1440" w:top="540" w:left="893" w:right="893" w:header="0" w:footer="720"/>
          <w:cols w:equalWidth="0" w:num="3">
            <w:col w:space="720" w:w="2893.333333333333"/>
            <w:col w:space="720" w:w="2893.333333333333"/>
            <w:col w:space="0" w:w="2893.333333333333"/>
          </w:cols>
          <w:titlePg w:val="1"/>
        </w:sectPr>
      </w:pPr>
      <w:r w:rsidDel="00000000" w:rsidR="00000000" w:rsidRPr="00000000">
        <w:br w:type="column"/>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short summary of the whole paper, tbd)</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sidDel="00000000" w:rsidR="00000000" w:rsidRPr="00000000">
        <w:rPr>
          <w:b w:val="1"/>
          <w:bCs w:val="1"/>
          <w:i w:val="1"/>
          <w:iCs w:val="1"/>
          <w:sz w:val="18"/>
          <w:szCs w:val="18"/>
          <w:rtl w:val="0"/>
        </w:rPr>
        <w:t xml:space="preserve">Thai arts and culture, rendering (tbd)</w:t>
      </w:r>
      <w:r w:rsidDel="00000000" w:rsidR="00000000" w:rsidRPr="00000000">
        <w:rPr>
          <w:rtl w:val="0"/>
        </w:rPr>
      </w:r>
    </w:p>
    <w:p w:rsidR="00000000" w:rsidDel="00000000" w:rsidP="00000000" w:rsidRDefault="00000000" w:rsidRPr="00000000" w14:paraId="0000000D">
      <w:pPr>
        <w:pStyle w:val="Heading1"/>
        <w:numPr>
          <w:ilvl w:val="0"/>
          <w:numId w:val="1"/>
        </w:numPr>
        <w:tabs>
          <w:tab w:val="left" w:leader="none" w:pos="216"/>
        </w:tabs>
        <w:ind w:left="0" w:firstLine="0"/>
        <w:rPr/>
      </w:pPr>
      <w:r w:rsidDel="00000000" w:rsidR="00000000" w:rsidRPr="00000000">
        <w:rPr>
          <w:rtl w:val="0"/>
        </w:rPr>
        <w:t xml:space="preserve">Introduction </w:t>
      </w:r>
    </w:p>
    <w:p w:rsidR="00000000" w:rsidDel="00000000" w:rsidP="00000000" w:rsidRDefault="00000000" w:rsidRPr="00000000" w14:paraId="0000000E">
      <w:pPr>
        <w:tabs>
          <w:tab w:val="left" w:leader="none" w:pos="288"/>
        </w:tabs>
        <w:spacing w:after="120" w:line="228" w:lineRule="auto"/>
        <w:ind w:firstLine="288"/>
        <w:jc w:val="both"/>
        <w:rPr/>
      </w:pPr>
      <w:r w:rsidDel="00000000" w:rsidR="00000000" w:rsidRPr="00000000">
        <w:rPr>
          <w:rtl w:val="0"/>
        </w:rPr>
        <w:t xml:space="preserve">Image-based reconstruction is a computer vision technique that creates a digital representation of a real object from photographs taken at different angles. It is used in areas like cultural preservation, education, entertainment, augmented reality and virtual reality. Instead of manually building every part of an object, the system estimates its shape and surface appearance from visible information in the images.</w:t>
      </w:r>
    </w:p>
    <w:p w:rsidR="00000000" w:rsidDel="00000000" w:rsidP="00000000" w:rsidRDefault="00000000" w:rsidRPr="00000000" w14:paraId="0000000F">
      <w:pPr>
        <w:tabs>
          <w:tab w:val="left" w:leader="none" w:pos="288"/>
        </w:tabs>
        <w:spacing w:after="120" w:line="228" w:lineRule="auto"/>
        <w:ind w:firstLine="288"/>
        <w:jc w:val="both"/>
        <w:rPr/>
      </w:pPr>
      <w:r w:rsidDel="00000000" w:rsidR="00000000" w:rsidRPr="00000000">
        <w:rPr>
          <w:rtl w:val="0"/>
        </w:rPr>
        <w:t xml:space="preserve">This project focuses on reconstructing traditional Thai pottery and water containers. These clay or ceramic containers have been used to store drinking water and water for household activities. Their shapes, materials, surface patterns and production methods can reflect local knowledge and traditional ways of living.</w:t>
      </w:r>
    </w:p>
    <w:p w:rsidR="00000000" w:rsidDel="00000000" w:rsidP="00000000" w:rsidRDefault="00000000" w:rsidRPr="00000000" w14:paraId="00000010">
      <w:pPr>
        <w:tabs>
          <w:tab w:val="left" w:leader="none" w:pos="288"/>
        </w:tabs>
        <w:spacing w:after="120" w:line="228" w:lineRule="auto"/>
        <w:ind w:firstLine="288"/>
        <w:jc w:val="both"/>
        <w:rPr/>
      </w:pPr>
      <w:r w:rsidDel="00000000" w:rsidR="00000000" w:rsidRPr="00000000">
        <w:rPr>
          <w:rtl w:val="0"/>
        </w:rPr>
        <w:t xml:space="preserve">Several Thai cultural objects and themes were considered before this topic was selected. Large buildings and architectural structures were avoided because they require many photographs, outdoor access, and camera positions that may be difficult to reach and record. Small or medium pottery is more affordable, easier to control, and suitable for a project of this scale.</w:t>
      </w:r>
    </w:p>
    <w:p w:rsidR="00000000" w:rsidDel="00000000" w:rsidP="00000000" w:rsidRDefault="00000000" w:rsidRPr="00000000" w14:paraId="00000011">
      <w:pPr>
        <w:tabs>
          <w:tab w:val="left" w:leader="none" w:pos="288"/>
        </w:tabs>
        <w:spacing w:after="120" w:line="228" w:lineRule="auto"/>
        <w:ind w:firstLine="288"/>
        <w:jc w:val="both"/>
        <w:rPr/>
      </w:pPr>
      <w:r w:rsidDel="00000000" w:rsidR="00000000" w:rsidRPr="00000000">
        <w:rPr>
          <w:rtl w:val="0"/>
        </w:rPr>
        <w:t xml:space="preserve">The topic was partly inspired by two team members from Myanmar who are familiar with similar clay water containers. This shared regional and cultural familiarity encouraged the team to study the Thai version of the object. The main goal is to produce a textured 3D model from overlapping photographs and present it in an AR or VR environment where users can rotate, scale and inspect 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3">
      <w:pPr>
        <w:pStyle w:val="Heading1"/>
        <w:numPr>
          <w:ilvl w:val="0"/>
          <w:numId w:val="1"/>
        </w:numPr>
        <w:tabs>
          <w:tab w:val="left" w:leader="none" w:pos="216"/>
        </w:tabs>
        <w:ind w:left="0" w:firstLine="0"/>
        <w:rPr/>
      </w:pPr>
      <w:r w:rsidDel="00000000" w:rsidR="00000000" w:rsidRPr="00000000">
        <w:rPr>
          <w:rtl w:val="0"/>
        </w:rPr>
        <w:t xml:space="preserve">Literature Review</w:t>
      </w:r>
    </w:p>
    <w:p w:rsidR="00000000" w:rsidDel="00000000" w:rsidP="00000000" w:rsidRDefault="00000000" w:rsidRPr="00000000" w14:paraId="00000014">
      <w:pPr>
        <w:tabs>
          <w:tab w:val="left" w:leader="none" w:pos="288"/>
        </w:tabs>
        <w:spacing w:after="120" w:line="228" w:lineRule="auto"/>
        <w:ind w:firstLine="288"/>
        <w:jc w:val="both"/>
        <w:rPr/>
      </w:pPr>
      <w:r w:rsidDel="00000000" w:rsidR="00000000" w:rsidRPr="00000000">
        <w:rPr>
          <w:rtl w:val="0"/>
        </w:rPr>
        <w:t xml:space="preserve">Image-based 3D reconstruction estimates the shape of an object from multiple two dimensional images. Szeliski </w:t>
      </w:r>
      <w:hyperlink r:id="rId9">
        <w:r w:rsidDel="00000000" w:rsidR="00000000" w:rsidRPr="00000000">
          <w:rPr>
            <w:color w:val="1155cc"/>
            <w:u w:val="single"/>
            <w:rtl w:val="0"/>
          </w:rPr>
          <w:t xml:space="preserve">[1]</w:t>
        </w:r>
      </w:hyperlink>
      <w:r w:rsidDel="00000000" w:rsidR="00000000" w:rsidRPr="00000000">
        <w:rPr>
          <w:rtl w:val="0"/>
        </w:rPr>
        <w:t xml:space="preserve"> explains that images captured from different viewpoints can provide information about camera movement, depth and three dimensional structure. The quality of the result depends on factors like image overlap, surface detail, lighting consistency, and camera movement.</w:t>
      </w:r>
    </w:p>
    <w:p w:rsidR="00000000" w:rsidDel="00000000" w:rsidP="00000000" w:rsidRDefault="00000000" w:rsidRPr="00000000" w14:paraId="00000015">
      <w:pPr>
        <w:tabs>
          <w:tab w:val="left" w:leader="none" w:pos="288"/>
        </w:tabs>
        <w:spacing w:after="120" w:line="228" w:lineRule="auto"/>
        <w:ind w:firstLine="288"/>
        <w:jc w:val="both"/>
        <w:rPr/>
      </w:pPr>
      <w:r w:rsidDel="00000000" w:rsidR="00000000" w:rsidRPr="00000000">
        <w:rPr>
          <w:rtl w:val="0"/>
        </w:rPr>
        <w:t xml:space="preserve">Structure from Motion is normally used during the first stage of reconstruction. It detects local features in each photograph and matches the same features across different images. These matches are used to estimate the camera positions and create a sparse set of 3D points. Bundle adjustment then improves the estimated camera parameters and point positions by reducing reprojection error.</w:t>
      </w:r>
    </w:p>
    <w:p w:rsidR="00000000" w:rsidDel="00000000" w:rsidP="00000000" w:rsidRDefault="00000000" w:rsidRPr="00000000" w14:paraId="00000016">
      <w:pPr>
        <w:tabs>
          <w:tab w:val="left" w:leader="none" w:pos="288"/>
        </w:tabs>
        <w:spacing w:after="120" w:line="228" w:lineRule="auto"/>
        <w:ind w:firstLine="288"/>
        <w:jc w:val="both"/>
        <w:rPr/>
      </w:pPr>
      <w:r w:rsidDel="00000000" w:rsidR="00000000" w:rsidRPr="00000000">
        <w:rPr>
          <w:rtl w:val="0"/>
        </w:rPr>
        <w:t xml:space="preserve">Schönberger and Frahm </w:t>
      </w:r>
      <w:hyperlink r:id="rId10">
        <w:r w:rsidDel="00000000" w:rsidR="00000000" w:rsidRPr="00000000">
          <w:rPr>
            <w:color w:val="1155cc"/>
            <w:u w:val="single"/>
            <w:rtl w:val="0"/>
          </w:rPr>
          <w:t xml:space="preserve">[2]</w:t>
        </w:r>
      </w:hyperlink>
      <w:r w:rsidDel="00000000" w:rsidR="00000000" w:rsidRPr="00000000">
        <w:rPr>
          <w:rtl w:val="0"/>
        </w:rPr>
        <w:t xml:space="preserve"> introduced an incremental Structure from Motion approach that was later released as part of COLMAP. COLMAP is now an open source system on GitHub that supports automatic reconstruction, command line processing, graphical visualization, and Python integration. It can produce camera poses, sparse point clouds, dense point clouds, surface meshes, and texture maps.</w:t>
      </w:r>
    </w:p>
    <w:p w:rsidR="00000000" w:rsidDel="00000000" w:rsidP="00000000" w:rsidRDefault="00000000" w:rsidRPr="00000000" w14:paraId="00000017">
      <w:pPr>
        <w:tabs>
          <w:tab w:val="left" w:leader="none" w:pos="288"/>
        </w:tabs>
        <w:spacing w:after="120" w:line="228" w:lineRule="auto"/>
        <w:ind w:firstLine="288"/>
        <w:jc w:val="both"/>
        <w:rPr/>
      </w:pPr>
      <w:r w:rsidDel="00000000" w:rsidR="00000000" w:rsidRPr="00000000">
        <w:rPr>
          <w:rtl w:val="0"/>
        </w:rPr>
        <w:t xml:space="preserve">Multi View Stereo is used after the sparse reconstruction. It estimates depth information for many pixels and combines this information into a dense point cloud. Schönberger and colleagues [3] proposed a pixelwise view selection method that improves depth estimation by selecting appropriate source images. The dense point cloud can then be converted into a triangle mesh.</w:t>
      </w:r>
    </w:p>
    <w:p w:rsidR="00000000" w:rsidDel="00000000" w:rsidP="00000000" w:rsidRDefault="00000000" w:rsidRPr="00000000" w14:paraId="00000018">
      <w:pPr>
        <w:tabs>
          <w:tab w:val="left" w:leader="none" w:pos="288"/>
        </w:tabs>
        <w:spacing w:after="120" w:line="228" w:lineRule="auto"/>
        <w:ind w:firstLine="288"/>
        <w:jc w:val="both"/>
        <w:rPr/>
      </w:pPr>
      <w:r w:rsidDel="00000000" w:rsidR="00000000" w:rsidRPr="00000000">
        <w:rPr>
          <w:rtl w:val="0"/>
        </w:rPr>
        <w:t xml:space="preserve">Meshroom is another open source reconstruction tool based on AliceVision [4]. Its visual workflow is convenient because the major processing stages are displayed as connected nodes. However, COLMAP was selected as the main tool for this project because it offers a simple automatic mode and detailed control when individual steps need to be adjusted. Blender will be used for model cleanup, while Unity or another platform provided by the course professor will be used for the final AR or VR presentation.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A">
      <w:pPr>
        <w:pStyle w:val="Heading1"/>
        <w:numPr>
          <w:ilvl w:val="0"/>
          <w:numId w:val="1"/>
        </w:numPr>
        <w:tabs>
          <w:tab w:val="left" w:leader="none" w:pos="216"/>
        </w:tabs>
        <w:ind w:left="0" w:firstLine="0"/>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1B">
      <w:pPr>
        <w:pStyle w:val="Heading2"/>
        <w:numPr>
          <w:ilvl w:val="1"/>
          <w:numId w:val="1"/>
        </w:numPr>
        <w:tabs>
          <w:tab w:val="left" w:leader="none" w:pos="288"/>
        </w:tabs>
        <w:ind w:left="288" w:hanging="288"/>
        <w:rPr/>
      </w:pPr>
      <w:r w:rsidDel="00000000" w:rsidR="00000000" w:rsidRPr="00000000">
        <w:rPr>
          <w:rtl w:val="0"/>
        </w:rPr>
        <w:t xml:space="preserve">​​Overall Project Design</w:t>
      </w:r>
    </w:p>
    <w:p w:rsidR="00000000" w:rsidDel="00000000" w:rsidP="00000000" w:rsidRDefault="00000000" w:rsidRPr="00000000" w14:paraId="0000001C">
      <w:pPr>
        <w:tabs>
          <w:tab w:val="left" w:leader="none" w:pos="288"/>
        </w:tabs>
        <w:spacing w:after="120" w:line="228" w:lineRule="auto"/>
        <w:ind w:firstLine="288"/>
        <w:jc w:val="both"/>
        <w:rPr/>
      </w:pPr>
      <w:r w:rsidDel="00000000" w:rsidR="00000000" w:rsidRPr="00000000">
        <w:rPr>
          <w:rtl w:val="0"/>
        </w:rPr>
        <w:t xml:space="preserve">The project will follow an experimental image-based reconstruction process. A real Thai clay water container will be selected and photographed from multiple viewpoints. These photographs will be processed to estimate the camera positions, reconstruct the object surface, generate a texture, and create a model suitable for real time visualization.</w:t>
      </w:r>
    </w:p>
    <w:p w:rsidR="00000000" w:rsidDel="00000000" w:rsidP="00000000" w:rsidRDefault="00000000" w:rsidRPr="00000000" w14:paraId="0000001D">
      <w:pPr>
        <w:tabs>
          <w:tab w:val="left" w:leader="none" w:pos="288"/>
        </w:tabs>
        <w:spacing w:after="120" w:line="228" w:lineRule="auto"/>
        <w:ind w:firstLine="288"/>
        <w:jc w:val="both"/>
        <w:rPr/>
      </w:pPr>
      <w:r w:rsidDel="00000000" w:rsidR="00000000" w:rsidRPr="00000000">
        <w:rPr>
          <w:rtl w:val="0"/>
        </w:rPr>
        <w:t xml:space="preserve">The work will be divided into five general phases. The first phase will cover object research and selection. The second phase will focus on pilot image capture and testing. The third phase will cover the complete reconstruction using COLMAP. The fourth phase will involve mesh cleanup and optimization. The final phase will place the model inside an AR or VR environment.</w:t>
      </w:r>
    </w:p>
    <w:p w:rsidR="00000000" w:rsidDel="00000000" w:rsidP="00000000" w:rsidRDefault="00000000" w:rsidRPr="00000000" w14:paraId="0000001E">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F">
      <w:pPr>
        <w:tabs>
          <w:tab w:val="left" w:leader="none" w:pos="288"/>
        </w:tabs>
        <w:spacing w:after="120" w:line="228" w:lineRule="auto"/>
        <w:ind w:firstLine="288"/>
        <w:jc w:val="both"/>
        <w:rPr/>
      </w:pPr>
      <w:r w:rsidDel="00000000" w:rsidR="00000000" w:rsidRPr="00000000">
        <w:rPr>
          <w:rtl w:val="0"/>
        </w:rPr>
        <w:t xml:space="preserve">The proposed workflow is intended to remain flexible. If the first object is too reflective, too plain, or too difficult to reconstruct, another object will be selected. The team will record the settings and results from each attempt so that later decisions are based on actual reconstruction performance.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21">
      <w:pPr>
        <w:pStyle w:val="Heading2"/>
        <w:numPr>
          <w:ilvl w:val="1"/>
          <w:numId w:val="1"/>
        </w:numPr>
        <w:tabs>
          <w:tab w:val="left" w:leader="none" w:pos="288"/>
        </w:tabs>
        <w:ind w:left="288" w:hanging="288"/>
        <w:rPr/>
      </w:pPr>
      <w:r w:rsidDel="00000000" w:rsidR="00000000" w:rsidRPr="00000000">
        <w:rPr>
          <w:rtl w:val="0"/>
        </w:rPr>
        <w:t xml:space="preserve">Object Research and Selection</w:t>
      </w:r>
    </w:p>
    <w:p w:rsidR="00000000" w:rsidDel="00000000" w:rsidP="00000000" w:rsidRDefault="00000000" w:rsidRPr="00000000" w14:paraId="00000022">
      <w:pPr>
        <w:tabs>
          <w:tab w:val="left" w:leader="none" w:pos="288"/>
        </w:tabs>
        <w:spacing w:after="120" w:line="228" w:lineRule="auto"/>
        <w:jc w:val="both"/>
        <w:rPr/>
      </w:pPr>
      <w:r w:rsidDel="00000000" w:rsidR="00000000" w:rsidRPr="00000000">
        <w:rPr>
          <w:rtl w:val="0"/>
        </w:rPr>
        <w:t xml:space="preserve">The team will search for small and medium Thai clay or ceramic containers through local shops, online stores, cultural markets, friends, and personal contacts. Larger water jars may also be considered if they can be found at an accessible location. However, a small or medium object will be preferred because it can be moved into a controlled capture area.</w:t>
      </w:r>
    </w:p>
    <w:p w:rsidR="00000000" w:rsidDel="00000000" w:rsidP="00000000" w:rsidRDefault="00000000" w:rsidRPr="00000000" w14:paraId="00000023">
      <w:pPr>
        <w:tabs>
          <w:tab w:val="left" w:leader="none" w:pos="288"/>
        </w:tabs>
        <w:spacing w:after="120" w:line="228" w:lineRule="auto"/>
        <w:jc w:val="both"/>
        <w:rPr/>
      </w:pPr>
      <w:r w:rsidDel="00000000" w:rsidR="00000000" w:rsidRPr="00000000">
        <w:rPr>
          <w:rtl w:val="0"/>
        </w:rPr>
        <w:t xml:space="preserve">Several candidate objects will be photographed informally before the final selection. Each candidate will be evaluated using the following criteria.</w:t>
      </w:r>
    </w:p>
    <w:p w:rsidR="00000000" w:rsidDel="00000000" w:rsidP="00000000" w:rsidRDefault="00000000" w:rsidRPr="00000000" w14:paraId="00000024">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object should have a clear connection to Thai culture or traditional household life</w:t>
      </w:r>
    </w:p>
    <w:p w:rsidR="00000000" w:rsidDel="00000000" w:rsidP="00000000" w:rsidRDefault="00000000" w:rsidRPr="00000000" w14:paraId="00000025">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object should be rigid and should not change shape while being photographed</w:t>
      </w:r>
    </w:p>
    <w:p w:rsidR="00000000" w:rsidDel="00000000" w:rsidP="00000000" w:rsidRDefault="00000000" w:rsidRPr="00000000" w14:paraId="00000026">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object should be accessible from most viewing directions</w:t>
      </w:r>
    </w:p>
    <w:p w:rsidR="00000000" w:rsidDel="00000000" w:rsidP="00000000" w:rsidRDefault="00000000" w:rsidRPr="00000000" w14:paraId="00000027">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surface should contain visible texture, carving, color variation, or decorative patterns</w:t>
      </w:r>
    </w:p>
    <w:p w:rsidR="00000000" w:rsidDel="00000000" w:rsidP="00000000" w:rsidRDefault="00000000" w:rsidRPr="00000000" w14:paraId="00000028">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object should not be highly reflective or transparent</w:t>
      </w:r>
    </w:p>
    <w:p w:rsidR="00000000" w:rsidDel="00000000" w:rsidP="00000000" w:rsidRDefault="00000000" w:rsidRPr="00000000" w14:paraId="00000029">
      <w:pPr>
        <w:numPr>
          <w:ilvl w:val="0"/>
          <w:numId w:val="6"/>
        </w:numPr>
        <w:tabs>
          <w:tab w:val="left" w:leader="none" w:pos="288"/>
        </w:tabs>
        <w:spacing w:after="0" w:afterAutospacing="0" w:line="228" w:lineRule="auto"/>
        <w:ind w:left="720" w:hanging="360"/>
        <w:jc w:val="both"/>
        <w:rPr>
          <w:u w:val="none"/>
        </w:rPr>
      </w:pPr>
      <w:r w:rsidDel="00000000" w:rsidR="00000000" w:rsidRPr="00000000">
        <w:rPr>
          <w:rtl w:val="0"/>
        </w:rPr>
        <w:t xml:space="preserve">The object should be affordable, borrowable, or already available to a team member</w:t>
      </w:r>
    </w:p>
    <w:p w:rsidR="00000000" w:rsidDel="00000000" w:rsidP="00000000" w:rsidRDefault="00000000" w:rsidRPr="00000000" w14:paraId="0000002A">
      <w:pPr>
        <w:numPr>
          <w:ilvl w:val="0"/>
          <w:numId w:val="6"/>
        </w:numPr>
        <w:tabs>
          <w:tab w:val="left" w:leader="none" w:pos="288"/>
        </w:tabs>
        <w:spacing w:after="120" w:line="228" w:lineRule="auto"/>
        <w:ind w:left="720" w:hanging="360"/>
        <w:jc w:val="both"/>
        <w:rPr>
          <w:u w:val="none"/>
        </w:rPr>
      </w:pPr>
      <w:r w:rsidDel="00000000" w:rsidR="00000000" w:rsidRPr="00000000">
        <w:rPr>
          <w:rtl w:val="0"/>
        </w:rPr>
        <w:t xml:space="preserve">The object should be safe to handle and should not be an important religious or historical artifact</w:t>
      </w:r>
    </w:p>
    <w:p w:rsidR="00000000" w:rsidDel="00000000" w:rsidP="00000000" w:rsidRDefault="00000000" w:rsidRPr="00000000" w14:paraId="0000002B">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C">
      <w:pPr>
        <w:tabs>
          <w:tab w:val="left" w:leader="none" w:pos="288"/>
        </w:tabs>
        <w:spacing w:after="120" w:line="228" w:lineRule="auto"/>
        <w:jc w:val="both"/>
        <w:rPr/>
      </w:pPr>
      <w:r w:rsidDel="00000000" w:rsidR="00000000" w:rsidRPr="00000000">
        <w:rPr>
          <w:rtl w:val="0"/>
        </w:rPr>
        <w:t xml:space="preserve">The final reconstruction will focus on one primary object (or more than 1, final number is to be decided). Other available pots may be used for early experiments or comparisons. A matte pottery surface with visible details will be preferred over a smooth glazed surface. A lid, handle, carved pattern, or irregular handmade shape may also help the software identify different parts of the object.</w:t>
      </w:r>
    </w:p>
    <w:p w:rsidR="00000000" w:rsidDel="00000000" w:rsidP="00000000" w:rsidRDefault="00000000" w:rsidRPr="00000000" w14:paraId="0000002D">
      <w:pPr>
        <w:tabs>
          <w:tab w:val="left" w:leader="none" w:pos="288"/>
        </w:tabs>
        <w:spacing w:after="120" w:line="228" w:lineRule="auto"/>
        <w:jc w:val="both"/>
        <w:rPr/>
      </w:pPr>
      <w:r w:rsidDel="00000000" w:rsidR="00000000" w:rsidRPr="00000000">
        <w:rPr>
          <w:rtl w:val="0"/>
        </w:rPr>
        <w:t xml:space="preserve">The height, maximum diameter, opening diameter, and base diameter will be measured. These measurements will be recorded in centimeters and used to correct the scale of the digital model. The real object will also be photographed from the front as a reference image for later comparison.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2F">
      <w:pPr>
        <w:pStyle w:val="Heading2"/>
        <w:numPr>
          <w:ilvl w:val="1"/>
          <w:numId w:val="1"/>
        </w:numPr>
        <w:tabs>
          <w:tab w:val="left" w:leader="none" w:pos="288"/>
        </w:tabs>
        <w:ind w:left="288" w:hanging="288"/>
        <w:rPr/>
      </w:pPr>
      <w:r w:rsidDel="00000000" w:rsidR="00000000" w:rsidRPr="00000000">
        <w:rPr>
          <w:rtl w:val="0"/>
        </w:rPr>
        <w:t xml:space="preserve">Equipment and Capture Area</w:t>
      </w:r>
    </w:p>
    <w:p w:rsidR="00000000" w:rsidDel="00000000" w:rsidP="00000000" w:rsidRDefault="00000000" w:rsidRPr="00000000" w14:paraId="00000030">
      <w:pPr>
        <w:tabs>
          <w:tab w:val="left" w:leader="none" w:pos="288"/>
        </w:tabs>
        <w:spacing w:after="120" w:line="228" w:lineRule="auto"/>
        <w:ind w:firstLine="288"/>
        <w:jc w:val="both"/>
        <w:rPr/>
      </w:pPr>
      <w:r w:rsidDel="00000000" w:rsidR="00000000" w:rsidRPr="00000000">
        <w:rPr>
          <w:rtl w:val="0"/>
        </w:rPr>
        <w:t xml:space="preserve">The main equipment will include a smartphone or digital camera, a tripod or camera support, two light sources, white fabric or tracing material for light diffusion, a measuring tape, and several printed reference markers. Most of this equipment can be borrowed from friends or created from inexpensive materials.</w:t>
      </w:r>
    </w:p>
    <w:p w:rsidR="00000000" w:rsidDel="00000000" w:rsidP="00000000" w:rsidRDefault="00000000" w:rsidRPr="00000000" w14:paraId="00000031">
      <w:pPr>
        <w:tabs>
          <w:tab w:val="left" w:leader="none" w:pos="288"/>
        </w:tabs>
        <w:spacing w:after="120" w:line="228" w:lineRule="auto"/>
        <w:ind w:firstLine="288"/>
        <w:jc w:val="both"/>
        <w:rPr/>
      </w:pPr>
      <w:r w:rsidDel="00000000" w:rsidR="00000000" w:rsidRPr="00000000">
        <w:rPr>
          <w:rtl w:val="0"/>
        </w:rPr>
        <w:t xml:space="preserve">The capture area will be set up indoors to prevent changes in sunlight, wind, and background movement. The object will be placed on a stable stool or table. The team will leave enough space around the object for the camera operator to move safely.</w:t>
      </w:r>
    </w:p>
    <w:p w:rsidR="00000000" w:rsidDel="00000000" w:rsidP="00000000" w:rsidRDefault="00000000" w:rsidRPr="00000000" w14:paraId="00000032">
      <w:pPr>
        <w:tabs>
          <w:tab w:val="left" w:leader="none" w:pos="288"/>
        </w:tabs>
        <w:spacing w:after="120" w:line="228" w:lineRule="auto"/>
        <w:ind w:firstLine="288"/>
        <w:jc w:val="both"/>
        <w:rPr/>
      </w:pPr>
      <w:r w:rsidDel="00000000" w:rsidR="00000000" w:rsidRPr="00000000">
        <w:rPr>
          <w:rtl w:val="0"/>
        </w:rPr>
        <w:t xml:space="preserve">The lighting will be placed on opposite sides of the object and covered with diffusing material. This should reduce hard shadows and strong reflections. The position and brightness of the lights will remain unchanged throughout one capture session. Direct flash will not be used.</w:t>
      </w:r>
    </w:p>
    <w:p w:rsidR="00000000" w:rsidDel="00000000" w:rsidP="00000000" w:rsidRDefault="00000000" w:rsidRPr="00000000" w14:paraId="00000033">
      <w:pPr>
        <w:tabs>
          <w:tab w:val="left" w:leader="none" w:pos="288"/>
        </w:tabs>
        <w:spacing w:after="120" w:line="228" w:lineRule="auto"/>
        <w:ind w:firstLine="288"/>
        <w:jc w:val="both"/>
        <w:rPr/>
      </w:pPr>
      <w:r w:rsidDel="00000000" w:rsidR="00000000" w:rsidRPr="00000000">
        <w:rPr>
          <w:rtl w:val="0"/>
        </w:rPr>
        <w:t xml:space="preserve">A lightly textured background will be used instead of a completely plain wall. The background should provide enough features for camera pose estimation without attracting too much attention from the object. Printed markers may be placed on the table and around the capture area. These markers will not be attached directly to the pot.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35">
      <w:pPr>
        <w:pStyle w:val="Heading2"/>
        <w:numPr>
          <w:ilvl w:val="1"/>
          <w:numId w:val="1"/>
        </w:numPr>
        <w:tabs>
          <w:tab w:val="left" w:leader="none" w:pos="288"/>
        </w:tabs>
        <w:ind w:left="288" w:hanging="288"/>
        <w:rPr/>
      </w:pPr>
      <w:r w:rsidDel="00000000" w:rsidR="00000000" w:rsidRPr="00000000">
        <w:rPr>
          <w:rtl w:val="0"/>
        </w:rPr>
        <w:t xml:space="preserve">Camera Preparation</w:t>
      </w:r>
    </w:p>
    <w:p w:rsidR="00000000" w:rsidDel="00000000" w:rsidP="00000000" w:rsidRDefault="00000000" w:rsidRPr="00000000" w14:paraId="00000036">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37">
      <w:pPr>
        <w:pStyle w:val="Heading2"/>
        <w:numPr>
          <w:ilvl w:val="1"/>
          <w:numId w:val="1"/>
        </w:numPr>
        <w:tabs>
          <w:tab w:val="left" w:leader="none" w:pos="288"/>
        </w:tabs>
      </w:pPr>
      <w:bookmarkStart w:colFirst="0" w:colLast="0" w:name="_t5ihmf3tmbk0" w:id="0"/>
      <w:bookmarkEnd w:id="0"/>
      <w:r w:rsidDel="00000000" w:rsidR="00000000" w:rsidRPr="00000000">
        <w:rPr>
          <w:rtl w:val="0"/>
        </w:rPr>
        <w:t xml:space="preserve">Image Acquisition and Dataset Preparation</w:t>
      </w:r>
    </w:p>
    <w:p w:rsidR="00000000" w:rsidDel="00000000" w:rsidP="00000000" w:rsidRDefault="00000000" w:rsidRPr="00000000" w14:paraId="00000038">
      <w:pPr>
        <w:tabs>
          <w:tab w:val="left" w:leader="none" w:pos="288"/>
        </w:tabs>
        <w:spacing w:after="120" w:line="228" w:lineRule="auto"/>
        <w:jc w:val="both"/>
        <w:rPr/>
      </w:pPr>
      <w:r w:rsidDel="00000000" w:rsidR="00000000" w:rsidRPr="00000000">
        <w:rPr>
          <w:rtl w:val="0"/>
        </w:rPr>
        <w:tab/>
      </w:r>
    </w:p>
    <w:p w:rsidR="00000000" w:rsidDel="00000000" w:rsidP="00000000" w:rsidRDefault="00000000" w:rsidRPr="00000000" w14:paraId="00000039">
      <w:pPr>
        <w:pStyle w:val="Heading2"/>
        <w:numPr>
          <w:ilvl w:val="1"/>
          <w:numId w:val="1"/>
        </w:numPr>
        <w:tabs>
          <w:tab w:val="left" w:leader="none" w:pos="288"/>
        </w:tabs>
      </w:pPr>
      <w:bookmarkStart w:colFirst="0" w:colLast="0" w:name="_p5xf3qont2vs" w:id="1"/>
      <w:bookmarkEnd w:id="1"/>
      <w:r w:rsidDel="00000000" w:rsidR="00000000" w:rsidRPr="00000000">
        <w:rPr>
          <w:rtl w:val="0"/>
        </w:rPr>
        <w:t xml:space="preserve">Sparse and Dense Reconstruction</w:t>
      </w:r>
    </w:p>
    <w:p w:rsidR="00000000" w:rsidDel="00000000" w:rsidP="00000000" w:rsidRDefault="00000000" w:rsidRPr="00000000" w14:paraId="0000003A">
      <w:pPr>
        <w:tabs>
          <w:tab w:val="left" w:leader="none" w:pos="288"/>
        </w:tabs>
        <w:spacing w:after="120" w:line="228" w:lineRule="auto"/>
        <w:jc w:val="both"/>
        <w:rPr/>
      </w:pPr>
      <w:r w:rsidDel="00000000" w:rsidR="00000000" w:rsidRPr="00000000">
        <w:rPr>
          <w:rtl w:val="0"/>
        </w:rPr>
        <w:tab/>
      </w:r>
    </w:p>
    <w:p w:rsidR="00000000" w:rsidDel="00000000" w:rsidP="00000000" w:rsidRDefault="00000000" w:rsidRPr="00000000" w14:paraId="0000003B">
      <w:pPr>
        <w:pStyle w:val="Heading2"/>
        <w:numPr>
          <w:ilvl w:val="1"/>
          <w:numId w:val="1"/>
        </w:numPr>
        <w:tabs>
          <w:tab w:val="left" w:leader="none" w:pos="288"/>
        </w:tabs>
      </w:pPr>
      <w:bookmarkStart w:colFirst="0" w:colLast="0" w:name="_7bubitv2eru" w:id="2"/>
      <w:bookmarkEnd w:id="2"/>
      <w:r w:rsidDel="00000000" w:rsidR="00000000" w:rsidRPr="00000000">
        <w:rPr>
          <w:rtl w:val="0"/>
        </w:rPr>
        <w:t xml:space="preserve">Mesh Generation and Texturing</w:t>
      </w:r>
    </w:p>
    <w:p w:rsidR="00000000" w:rsidDel="00000000" w:rsidP="00000000" w:rsidRDefault="00000000" w:rsidRPr="00000000" w14:paraId="0000003C">
      <w:pPr>
        <w:tabs>
          <w:tab w:val="left" w:leader="none" w:pos="288"/>
        </w:tabs>
        <w:rPr/>
      </w:pPr>
      <w:r w:rsidDel="00000000" w:rsidR="00000000" w:rsidRPr="00000000">
        <w:rPr>
          <w:rtl w:val="0"/>
        </w:rPr>
      </w:r>
    </w:p>
    <w:p w:rsidR="00000000" w:rsidDel="00000000" w:rsidP="00000000" w:rsidRDefault="00000000" w:rsidRPr="00000000" w14:paraId="0000003D">
      <w:pPr>
        <w:pStyle w:val="Heading2"/>
        <w:tabs>
          <w:tab w:val="left" w:leader="none" w:pos="288"/>
        </w:tabs>
        <w:ind w:firstLine="288"/>
        <w:jc w:val="left"/>
        <w:rPr/>
      </w:pPr>
      <w:bookmarkStart w:colFirst="0" w:colLast="0" w:name="_gsfykxdrk0md" w:id="3"/>
      <w:bookmarkEnd w:id="3"/>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 the rest are placeholders for now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48">
      <w:pPr>
        <w:pStyle w:val="Heading1"/>
        <w:numPr>
          <w:ilvl w:val="0"/>
          <w:numId w:val="1"/>
        </w:numPr>
        <w:tabs>
          <w:tab w:val="left" w:leader="none" w:pos="216"/>
        </w:tabs>
        <w:ind w:left="0" w:firstLine="0"/>
        <w:rPr/>
      </w:pPr>
      <w:r w:rsidDel="00000000" w:rsidR="00000000" w:rsidRPr="00000000">
        <w:rPr>
          <w:rtl w:val="0"/>
        </w:rPr>
        <w:t xml:space="preserve">Using the Template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000000" w:rsidDel="00000000" w:rsidP="00000000" w:rsidRDefault="00000000" w:rsidRPr="00000000" w14:paraId="0000004A">
      <w:pPr>
        <w:pStyle w:val="Heading2"/>
        <w:numPr>
          <w:ilvl w:val="1"/>
          <w:numId w:val="1"/>
        </w:numPr>
        <w:tabs>
          <w:tab w:val="left" w:leader="none" w:pos="288"/>
        </w:tabs>
        <w:ind w:left="288" w:hanging="288"/>
        <w:rPr/>
      </w:pPr>
      <w:r w:rsidDel="00000000" w:rsidR="00000000" w:rsidRPr="00000000">
        <w:rPr>
          <w:rtl w:val="0"/>
        </w:rPr>
        <w:t xml:space="preserve">Authors and Affiliations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template is designed for, but not limited to, six authors.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rsidR="00000000" w:rsidDel="00000000" w:rsidP="00000000" w:rsidRDefault="00000000" w:rsidRPr="00000000" w14:paraId="0000004C">
      <w:pPr>
        <w:pStyle w:val="Heading3"/>
        <w:numPr>
          <w:ilvl w:val="2"/>
          <w:numId w:val="1"/>
        </w:numPr>
        <w:ind w:left="0" w:firstLine="288"/>
        <w:rPr/>
      </w:pPr>
      <w:r w:rsidDel="00000000" w:rsidR="00000000" w:rsidRPr="00000000">
        <w:rPr>
          <w:rtl w:val="0"/>
        </w:rPr>
        <w:t xml:space="preserve">For papers with more than six authors: </w:t>
      </w:r>
      <w:r w:rsidDel="00000000" w:rsidR="00000000" w:rsidRPr="00000000">
        <w:rPr>
          <w:i w:val="0"/>
          <w:iCs w:val="0"/>
          <w:rtl w:val="0"/>
        </w:rPr>
        <w:t xml:space="preserve">Add author names horizontally, moving to a third row if needed for more than 8 authors.</w:t>
      </w:r>
      <w:r w:rsidDel="00000000" w:rsidR="00000000" w:rsidRPr="00000000">
        <w:rPr>
          <w:rtl w:val="0"/>
        </w:rPr>
      </w:r>
    </w:p>
    <w:p w:rsidR="00000000" w:rsidDel="00000000" w:rsidP="00000000" w:rsidRDefault="00000000" w:rsidRPr="00000000" w14:paraId="0000004D">
      <w:pPr>
        <w:pStyle w:val="Heading3"/>
        <w:numPr>
          <w:ilvl w:val="2"/>
          <w:numId w:val="1"/>
        </w:numPr>
        <w:ind w:left="0" w:firstLine="288"/>
        <w:rPr/>
      </w:pPr>
      <w:r w:rsidDel="00000000" w:rsidR="00000000" w:rsidRPr="00000000">
        <w:rPr>
          <w:rtl w:val="0"/>
        </w:rPr>
        <w:t xml:space="preserve">For papers with less than six authors: </w:t>
      </w:r>
      <w:r w:rsidDel="00000000" w:rsidR="00000000" w:rsidRPr="00000000">
        <w:rPr>
          <w:i w:val="0"/>
          <w:iCs w:val="0"/>
          <w:rtl w:val="0"/>
        </w:rPr>
        <w:t xml:space="preserve">To change the default, adjust the template as follows.</w:t>
      </w:r>
      <w:r w:rsidDel="00000000" w:rsidR="00000000" w:rsidRPr="00000000">
        <w:rPr>
          <w:rtl w:val="0"/>
        </w:rPr>
      </w:r>
    </w:p>
    <w:p w:rsidR="00000000" w:rsidDel="00000000" w:rsidP="00000000" w:rsidRDefault="00000000" w:rsidRPr="00000000" w14:paraId="0000004E">
      <w:pPr>
        <w:pStyle w:val="Heading4"/>
        <w:numPr>
          <w:ilvl w:val="3"/>
          <w:numId w:val="1"/>
        </w:numPr>
        <w:tabs>
          <w:tab w:val="left" w:leader="none" w:pos="720"/>
        </w:tabs>
        <w:ind w:left="0" w:firstLine="504"/>
        <w:rPr/>
      </w:pPr>
      <w:r w:rsidDel="00000000" w:rsidR="00000000" w:rsidRPr="00000000">
        <w:rPr>
          <w:rtl w:val="0"/>
        </w:rPr>
        <w:t xml:space="preserve">Selection: </w:t>
      </w:r>
      <w:r w:rsidDel="00000000" w:rsidR="00000000" w:rsidRPr="00000000">
        <w:rPr>
          <w:i w:val="0"/>
          <w:iCs w:val="0"/>
          <w:rtl w:val="0"/>
        </w:rPr>
        <w:t xml:space="preserve">Highlight all author and affiliation lines.</w:t>
      </w:r>
      <w:r w:rsidDel="00000000" w:rsidR="00000000" w:rsidRPr="00000000">
        <w:rPr>
          <w:rtl w:val="0"/>
        </w:rPr>
      </w:r>
    </w:p>
    <w:p w:rsidR="00000000" w:rsidDel="00000000" w:rsidP="00000000" w:rsidRDefault="00000000" w:rsidRPr="00000000" w14:paraId="0000004F">
      <w:pPr>
        <w:pStyle w:val="Heading4"/>
        <w:numPr>
          <w:ilvl w:val="3"/>
          <w:numId w:val="1"/>
        </w:numPr>
        <w:tabs>
          <w:tab w:val="left" w:leader="none" w:pos="720"/>
        </w:tabs>
        <w:ind w:left="0" w:firstLine="504"/>
        <w:rPr/>
      </w:pPr>
      <w:r w:rsidDel="00000000" w:rsidR="00000000" w:rsidRPr="00000000">
        <w:rPr>
          <w:rtl w:val="0"/>
        </w:rPr>
        <w:t xml:space="preserve">Change number of columns: </w:t>
      </w:r>
      <w:r w:rsidDel="00000000" w:rsidR="00000000" w:rsidRPr="00000000">
        <w:rPr>
          <w:i w:val="0"/>
          <w:iCs w:val="0"/>
          <w:rtl w:val="0"/>
        </w:rPr>
        <w:t xml:space="preserve">Select the Columns icon from the MS Word Standard toolbar and then select the correct number of columns from the selection palette.</w:t>
      </w:r>
      <w:r w:rsidDel="00000000" w:rsidR="00000000" w:rsidRPr="00000000">
        <w:rPr>
          <w:rtl w:val="0"/>
        </w:rPr>
      </w:r>
    </w:p>
    <w:p w:rsidR="00000000" w:rsidDel="00000000" w:rsidP="00000000" w:rsidRDefault="00000000" w:rsidRPr="00000000" w14:paraId="00000050">
      <w:pPr>
        <w:pStyle w:val="Heading4"/>
        <w:numPr>
          <w:ilvl w:val="3"/>
          <w:numId w:val="1"/>
        </w:numPr>
        <w:tabs>
          <w:tab w:val="left" w:leader="none" w:pos="720"/>
        </w:tabs>
        <w:ind w:left="0" w:firstLine="504"/>
        <w:rPr/>
      </w:pPr>
      <w:r w:rsidDel="00000000" w:rsidR="00000000" w:rsidRPr="00000000">
        <w:rPr>
          <w:rtl w:val="0"/>
        </w:rPr>
        <w:t xml:space="preserve">Deletion: </w:t>
      </w:r>
      <w:r w:rsidDel="00000000" w:rsidR="00000000" w:rsidRPr="00000000">
        <w:rPr>
          <w:i w:val="0"/>
          <w:iCs w:val="0"/>
          <w:rtl w:val="0"/>
        </w:rPr>
        <w:t xml:space="preserve">Delete the author and affiliation lines for the extra authors.</w:t>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pStyle w:val="Heading2"/>
        <w:numPr>
          <w:ilvl w:val="1"/>
          <w:numId w:val="1"/>
        </w:numPr>
        <w:tabs>
          <w:tab w:val="left" w:leader="none" w:pos="288"/>
        </w:tabs>
        <w:ind w:left="288" w:hanging="288"/>
        <w:rPr/>
      </w:pPr>
      <w:r w:rsidDel="00000000" w:rsidR="00000000" w:rsidRPr="00000000">
        <w:rPr>
          <w:rtl w:val="0"/>
        </w:rPr>
        <w:t xml:space="preserve">Identify the Headings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Headings, or heads, are organizational devices that guide the reader through your paper. There are two types: component heads and text heads.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000000" w:rsidDel="00000000" w:rsidP="00000000" w:rsidRDefault="00000000" w:rsidRPr="00000000" w14:paraId="00000056">
      <w:pPr>
        <w:pStyle w:val="Heading2"/>
        <w:numPr>
          <w:ilvl w:val="1"/>
          <w:numId w:val="1"/>
        </w:numPr>
        <w:tabs>
          <w:tab w:val="left" w:leader="none" w:pos="288"/>
        </w:tabs>
        <w:ind w:left="288" w:hanging="288"/>
        <w:rPr/>
      </w:pPr>
      <w:r w:rsidDel="00000000" w:rsidR="00000000" w:rsidRPr="00000000">
        <w:rPr>
          <w:rtl w:val="0"/>
        </w:rPr>
        <w:t xml:space="preserve">Figures and Tables</w:t>
      </w:r>
    </w:p>
    <w:p w:rsidR="00000000" w:rsidDel="00000000" w:rsidP="00000000" w:rsidRDefault="00000000" w:rsidRPr="00000000" w14:paraId="00000057">
      <w:pPr>
        <w:pStyle w:val="Heading4"/>
        <w:numPr>
          <w:ilvl w:val="3"/>
          <w:numId w:val="1"/>
        </w:numPr>
        <w:tabs>
          <w:tab w:val="left" w:leader="none" w:pos="720"/>
        </w:tabs>
        <w:ind w:left="0" w:firstLine="504"/>
        <w:rPr/>
      </w:pPr>
      <w:r w:rsidDel="00000000" w:rsidR="00000000" w:rsidRPr="00000000">
        <w:rPr>
          <w:rtl w:val="0"/>
        </w:rPr>
        <w:t xml:space="preserve"> Positioning Figures and Tables: </w:t>
      </w:r>
      <w:r w:rsidDel="00000000" w:rsidR="00000000" w:rsidRPr="00000000">
        <w:rPr>
          <w:i w:val="0"/>
          <w:iCs w:val="0"/>
          <w:rtl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smallCaps w:val="1"/>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Type Styles</w:t>
      </w:r>
    </w:p>
    <w:tbl>
      <w:tblPr>
        <w:tblStyle w:val="Table1"/>
        <w:tblW w:w="4860.0" w:type="dxa"/>
        <w:jc w:val="center"/>
        <w:tblLayout w:type="fixed"/>
        <w:tblLook w:val="0000"/>
      </w:tblPr>
      <w:tblGrid>
        <w:gridCol w:w="719"/>
        <w:gridCol w:w="2340"/>
        <w:gridCol w:w="900"/>
        <w:gridCol w:w="901"/>
        <w:tblGridChange w:id="0">
          <w:tblGrid>
            <w:gridCol w:w="719"/>
            <w:gridCol w:w="2340"/>
            <w:gridCol w:w="900"/>
            <w:gridCol w:w="901"/>
          </w:tblGrid>
        </w:tblGridChange>
      </w:tblGrid>
      <w:tr>
        <w:trPr>
          <w:cantSplit w:val="1"/>
          <w:trHeight w:val="240" w:hRule="atLeast"/>
          <w:tblHeader w:val="1"/>
        </w:trPr>
        <w:tc>
          <w:tcPr>
            <w:vMerge w:val="restart"/>
            <w:tcBorders>
              <w:top w:color="000000" w:space="0" w:sz="4" w:val="single"/>
              <w:bottom w:color="000000" w:space="0" w:sz="4" w:val="single"/>
            </w:tcBorders>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Head</w:t>
            </w:r>
          </w:p>
        </w:tc>
        <w:tc>
          <w:tcPr>
            <w:gridSpan w:val="3"/>
            <w:tcBorders>
              <w:top w:color="000000" w:space="0" w:sz="4" w:val="single"/>
              <w:bottom w:color="000000" w:space="0" w:sz="4" w:val="single"/>
            </w:tcBorders>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Column Head</w:t>
            </w:r>
          </w:p>
        </w:tc>
      </w:tr>
      <w:tr>
        <w:trPr>
          <w:cantSplit w:val="1"/>
          <w:trHeight w:val="240" w:hRule="atLeast"/>
          <w:tblHeader w:val="1"/>
        </w:trPr>
        <w:tc>
          <w:tcPr>
            <w:vMerge w:val="continue"/>
            <w:tcBorders>
              <w:top w:color="000000" w:space="0" w:sz="4" w:val="single"/>
              <w:bottom w:color="000000" w:space="0" w:sz="4" w:val="single"/>
            </w:tcBorders>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Table column subhead</w:t>
            </w:r>
          </w:p>
        </w:tc>
        <w:tc>
          <w:tcPr>
            <w:tcBorders>
              <w:top w:color="000000" w:space="0" w:sz="4" w:val="single"/>
              <w:bottom w:color="000000" w:space="0" w:sz="4" w:val="single"/>
            </w:tcBorders>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c>
          <w:tcPr>
            <w:tcBorders>
              <w:top w:color="000000" w:space="0" w:sz="4" w:val="single"/>
              <w:bottom w:color="000000" w:space="0" w:sz="4" w:val="single"/>
            </w:tcBorders>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r>
      <w:tr>
        <w:trPr>
          <w:cantSplit w:val="0"/>
          <w:trHeight w:val="32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copy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superscript"/>
                <w:rtl w:val="0"/>
              </w:rPr>
              <w:t xml:space="preserve">a</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63">
            <w:pPr>
              <w:rPr>
                <w:sz w:val="16"/>
                <w:szCs w:val="16"/>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64">
            <w:pPr>
              <w:rPr>
                <w:sz w:val="16"/>
                <w:szCs w:val="16"/>
              </w:rPr>
            </w:pP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60" w:line="240" w:lineRule="auto"/>
        <w:ind w:left="58" w:right="0" w:hanging="29"/>
        <w:jc w:val="left"/>
        <w:rPr>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0" w:right="0" w:firstLine="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rsidR="00000000" w:rsidDel="00000000" w:rsidP="00000000" w:rsidRDefault="00000000" w:rsidRPr="00000000" w14:paraId="00000068">
      <w:pPr>
        <w:pStyle w:val="Heading5"/>
        <w:tabs>
          <w:tab w:val="left" w:leader="none" w:pos="360"/>
        </w:tabs>
        <w:rPr/>
      </w:pPr>
      <w:r w:rsidDel="00000000" w:rsidR="00000000" w:rsidRPr="00000000">
        <w:rPr>
          <w:rtl w:val="0"/>
        </w:rPr>
        <w:t xml:space="preserve">Acknowledgment </w:t>
      </w:r>
      <w:r w:rsidDel="00000000" w:rsidR="00000000" w:rsidRPr="00000000">
        <w:rPr>
          <w:i w:val="1"/>
          <w:iCs w:val="1"/>
          <w:rtl w:val="0"/>
        </w:rPr>
        <w:t xml:space="preserve">(</w:t>
      </w:r>
      <w:r w:rsidDel="00000000" w:rsidR="00000000" w:rsidRPr="00000000">
        <w:rPr>
          <w:i w:val="1"/>
          <w:iCs w:val="1"/>
          <w:smallCaps w:val="0"/>
          <w:rtl w:val="0"/>
        </w:rPr>
        <w:t xml:space="preserve">Heading 5</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preferred spelling of the word “acknowledgment” in America is without an “e” after the “g”. Avoid the stilted expression “one of us (R. B. G.) thanks ...”.  Instead, try “R. B. G. thanks...”. Put sponsor acknowledgments in the unnumbered footnote on the first page.</w:t>
      </w:r>
    </w:p>
    <w:p w:rsidR="00000000" w:rsidDel="00000000" w:rsidP="00000000" w:rsidRDefault="00000000" w:rsidRPr="00000000" w14:paraId="0000006A">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footnotes separately in superscripts. Place the actual footnote at the bottom of the column in which it was cited. Do not put footnotes in the abstract or reference list. Use letters for table footnotes.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papers published in translation journals, please give the English citation first, followed by the original foreign-language citation [6].</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 Eason, B. Noble, and I. N. Sneddon, “On certain integrals of Lipschitz-Hankel type involving products of Bessel functions,” Phil. Trans. Roy. Soc. London, vol. A247, pp. 529–551, April 1955.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Clerk Maxwell, A Treatise on Electricity and Magnetism, 3rd ed., vol. 2. Oxford: Clarendon, 1892, pp.68–73.</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 S. Jacobs and C. P. Bean, “Fine particles, thin films and exchange anisotropy,” in Magnetism, vol. III, G. T. Rado and H. Suhl, Eds. New York: Academic, 1963, pp. 271–350.</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Elissa, “Title of paper if known,” unpublished.</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Nicole, “Title of paper with only first word capitalized,” J. Name Stand. Abbrev., in press.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 Yorozu, M. Hirano, K. Oka, and Y. Tagawa, “Electron spectroscopy studies on magneto-optical media and plastic substrate interface,” IEEE Transl. J. Magn. Japan, vol. 2, pp. 740–741, August 1987 [Digests 9th Annual Conf. Magnetics Japan, p. 301, 1982].</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Young, The Technical Writer’s Handbook. Mill Valley, CA: University Science, 1989.</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Eves and J. Valasek, “Adaptive control for singularly perturbed systems examples,” Code Ocean, Aug. 2023. [Online]. Available: </w:t>
      </w:r>
      <w:hyperlink r:id="rId11">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https://codeocean.com/capsule/4989235/tree</w:t>
        </w:r>
      </w:hyperlink>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P. Kingma and M. Welling, “Auto-encoding variational Bayes,” 2013, arXiv:1312.6114. [Online]. Available: </w:t>
      </w:r>
      <w:hyperlink r:id="rId12">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https://arxiv.org/abs/1312.6114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Liu, “Wi-Fi Energy Detection Testbed (12MTC),” 2023, gitHub repository. [Online]. Available: https://github.com/liustone99/Wi-Fi-Energy-Detection-Testbed-12MTC </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“Treatment episode data set: discharges (TEDS-D): concatenated, 2006 to 2009.” U.S. Department of Health and Human Services, Substance Abuse and Mental Health Services Administration, Office of Applied Studies, August, 2013, DOI:10.3886/ICPSR30122.v2</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54"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sectPr>
          <w:type w:val="continuous"/>
          <w:pgSz w:h="16838" w:w="11906" w:orient="portrait"/>
          <w:pgMar w:bottom="1440" w:top="540" w:left="893" w:right="893" w:header="0" w:footer="720"/>
          <w:cols w:equalWidth="0" w:num="2">
            <w:col w:space="360" w:w="4880"/>
            <w:col w:space="0" w:w="4880"/>
          </w:cols>
          <w:titlePg w:val="1"/>
        </w:sectPr>
      </w:pPr>
      <w:r w:rsidDel="00000000" w:rsidR="00000000" w:rsidRPr="00000000">
        <w:rPr>
          <w:rFonts w:ascii="Times New Roman" w:cs="Times New Roman" w:eastAsia="Times New Roman" w:hAnsi="Times New Roman"/>
          <w:b w:val="1"/>
          <w:bCs w:val="1"/>
          <w:i w:val="0"/>
          <w:iCs w:val="0"/>
          <w:smallCaps w:val="0"/>
          <w:strike w:val="0"/>
          <w:color w:val="ff0000"/>
          <w:sz w:val="20"/>
          <w:szCs w:val="20"/>
          <w:u w:val="none"/>
          <w:shd w:fill="auto" w:val="clear"/>
          <w:vertAlign w:val="baseline"/>
          <w:rtl w:val="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p>
    <w:p w:rsidR="00000000" w:rsidDel="00000000" w:rsidP="00000000" w:rsidRDefault="00000000" w:rsidRPr="00000000" w14:paraId="0000007E">
      <w:pPr>
        <w:rPr/>
      </w:pPr>
      <w:r w:rsidDel="00000000" w:rsidR="00000000" w:rsidRPr="00000000">
        <w:rPr>
          <w:rtl w:val="0"/>
        </w:rPr>
      </w:r>
    </w:p>
    <w:sectPr>
      <w:type w:val="continuous"/>
      <w:pgSz w:h="16838" w:w="11906" w:orient="portrait"/>
      <w:pgMar w:bottom="1440" w:top="540" w:left="893" w:right="893"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2">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abstractNum w:abstractNumId="3">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lowerLetter"/>
      <w:lvlText w:val="%1."/>
      <w:lvlJc w:val="lef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deocean.com/capsule/4989235/tree" TargetMode="External"/><Relationship Id="rId10" Type="http://schemas.openxmlformats.org/officeDocument/2006/relationships/hyperlink" Target="https://github.com/colmap/colmap" TargetMode="External"/><Relationship Id="rId12" Type="http://schemas.openxmlformats.org/officeDocument/2006/relationships/hyperlink" Target="https://arxiv.org/abs/1312.6114" TargetMode="External"/><Relationship Id="rId9" Type="http://schemas.openxmlformats.org/officeDocument/2006/relationships/hyperlink" Target="https://szeliski.org/Book/" TargetMode="Externa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