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OAI and EdgeRIC architecture</w:t>
      </w:r>
    </w:p>
    <w:p>
      <w:pPr>
        <w:pStyle w:val="Subtitle"/>
      </w:pPr>
      <w:r>
        <w:t>Design decision record | Version 1.5 | October 19 2026</w:t>
      </w:r>
    </w:p>
    <w:p>
      <w:r>
        <w:t>This record specifies the RAN integration for the streaming MEC testbed. It complements MEC server architecture v2.1 (M01–M79) and MEC Decision Maker Architecture v4.4 (D01–D82), both dated October 15 2026. R numbers identify agreed requirements; V numbers record source observations; O numbers identify unresolved choices or measurements. This is a specification for later implementation, not evidence that the current code implements it. No application or RAN source code is changed.</w:t>
      </w:r>
    </w:p>
    <w:p>
      <w:pPr>
        <w:pStyle w:val="Heading1"/>
      </w:pPr>
      <w:r>
        <w:t>1 Ownership and deployment</w:t>
      </w:r>
    </w:p>
    <w:p>
      <w:pPr>
        <w:keepLines/>
      </w:pPr>
      <w:r>
        <w:rPr>
          <w:b/>
        </w:rPr>
        <w:t xml:space="preserve">R01  Deployment. </w:t>
      </w:r>
      <w:r>
        <w:t>Use two QSFP-connected DGX Sparks: one for RAN/EdgeRIC and one for core/MEC. EdgeRIC shares the gNB network namespace. MEC reaches EdgeRIC at the gNB namespace’s reachable IPvlan address and a configurable dedicated gRPC port. Initially use no E2 service models. Existing local EdgeRIC–OAI hooks remain subject to verification. [M69; D73, D77]</w:t>
      </w:r>
    </w:p>
    <w:p>
      <w:pPr>
        <w:keepLines/>
      </w:pPr>
      <w:r>
        <w:rPr>
          <w:b/>
        </w:rPr>
        <w:t xml:space="preserve">R02  Responsibility boundaries. </w:t>
      </w:r>
      <w:r>
        <w:t>UE owns encoding, actual command application, frame transmission and result-receipt logs. MEC owns application lifecycle, final application-action validation, inference execution and results. EdgeRIC/RAN owns radio identity association, telemetry, radio-demand state and scheduling/actuation; OAI produces valid grants. Optional MEC-policy inference hosted in EdgeRIC returns proposals only. [M05, M78–M79]</w:t>
      </w:r>
    </w:p>
    <w:p>
      <w:pPr>
        <w:keepLines/>
      </w:pPr>
      <w:r>
        <w:rPr>
          <w:b/>
        </w:rPr>
        <w:t xml:space="preserve">R03  Separate EdgeRIC functions. </w:t>
      </w:r>
      <w:r>
        <w:t>Keep radio telemetry/association/actuation, application-demand reception/accounting, and optional MEC-policy inference as distinct responsibilities. Remote application inference and its queues must not block the local radio scheduling path. Do not perform blocking gRPC waits or remote-policy calls inside the OAI scheduling path.</w:t>
      </w:r>
    </w:p>
    <w:p>
      <w:pPr>
        <w:keepLines/>
      </w:pPr>
      <w:r>
        <w:rPr>
          <w:b/>
        </w:rPr>
        <w:t xml:space="preserve">R04  Identity separation. </w:t>
      </w:r>
      <w:r>
        <w:t>MEC stores no RNTI. MEC supplies ue_id and separate transport/association attributes; EdgeRIC resolves the current radio context and owns its freshness. Policy features identify a UE only by ue_id and exclude IP, RNTI, subscriber identifiers and raw tokens, including nested fields. Keep association information separate from policy features. Ambiguous/unavailable associations must not be guessed. [M05, M67, M79]</w:t>
      </w:r>
    </w:p>
    <w:p>
      <w:pPr>
        <w:pStyle w:val="Heading1"/>
      </w:pPr>
      <w:r>
        <w:t>2 Policies and experiment scenarios</w:t>
      </w:r>
    </w:p>
    <w:p>
      <w:pPr>
        <w:keepLines/>
      </w:pPr>
      <w:r>
        <w:rPr>
          <w:b/>
        </w:rPr>
        <w:t xml:space="preserve">R05  Independent policy functions. </w:t>
      </w:r>
      <w:r>
        <w:t>Distinguish a RAN scheduling policy from a MEC application policy. The latter selects joint bitrate/DNN configurations at GoP events; per-frame CUDA priority is a separate decision interface and may eventually use a third policy. Hosting these functions in EdgeRIC does not merge their authority or timescales. [M04, M43; D69–D75]</w:t>
      </w:r>
    </w:p>
    <w:p>
      <w:pPr>
        <w:keepLines/>
        <w:pageBreakBefore/>
      </w:pPr>
      <w:r>
        <w:rPr>
          <w:b/>
        </w:rPr>
        <w:t xml:space="preserve">R06  Required scenarios. </w:t>
      </w:r>
      <w:r>
        <w:t>Test at least the three combinations below. Heuristic application decisions execute at MEC. RL application proposals execute in EdgeRIC and are sent to MEC for validation/execution. “RL at RAN” in scenario 3 denotes the radio-policy function; whether its inference executes in the EdgeRIC process or another local RAN component remains to be specified.</w:t>
      </w:r>
    </w:p>
    <w:tbl>
      <w:tblPr>
        <w:tblW w:type="auto" w:w="0"/>
        <w:tblLayout w:type="fixed"/>
        <w:tblLook w:firstColumn="1" w:firstRow="1" w:lastColumn="0" w:lastRow="0" w:noHBand="0" w:noVBand="1" w:val="04A0"/>
      </w:tblPr>
      <w:tblGrid>
        <w:gridCol w:w="864"/>
        <w:gridCol w:w="2160"/>
        <w:gridCol w:w="3384"/>
        <w:gridCol w:w="3528"/>
      </w:tblGrid>
      <w:tr>
        <w:trPr>
          <w:tblHeader/>
        </w:trPr>
        <w:tc>
          <w:tcPr>
            <w:tcW w:type="dxa" w:w="792"/>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60"/>
            </w:pPr>
            <w:r>
              <w:rPr>
                <w:b/>
                <w:sz w:val="20"/>
              </w:rPr>
              <w:t>Case</w:t>
            </w:r>
          </w:p>
        </w:tc>
        <w:tc>
          <w:tcPr>
            <w:tcW w:type="dxa" w:w="2232"/>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60"/>
            </w:pPr>
            <w:r>
              <w:rPr>
                <w:b/>
                <w:sz w:val="20"/>
              </w:rPr>
              <w:t>RAN scheduling</w:t>
            </w:r>
          </w:p>
        </w:tc>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60"/>
            </w:pPr>
            <w:r>
              <w:rPr>
                <w:b/>
                <w:sz w:val="20"/>
              </w:rPr>
              <w:t>GoP bitrate and DNN</w:t>
            </w:r>
          </w:p>
        </w:tc>
        <w:tc>
          <w:tcPr>
            <w:tcW w:type="dxa" w:w="3528"/>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60"/>
            </w:pPr>
            <w:r>
              <w:rPr>
                <w:b/>
                <w:sz w:val="20"/>
              </w:rPr>
              <w:t>CUDA priority</w:t>
            </w:r>
          </w:p>
        </w:tc>
      </w:tr>
      <w:tr>
        <w:tc>
          <w:tcPr>
            <w:tcW w:type="dxa" w:w="79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20"/>
              </w:rPr>
              <w:t>1</w:t>
            </w:r>
          </w:p>
        </w:tc>
        <w:tc>
          <w:tcPr>
            <w:tcW w:type="dxa" w:w="223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20"/>
              </w:rPr>
              <w:t>Heuristic</w:t>
            </w:r>
          </w:p>
        </w:tc>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20"/>
              </w:rPr>
              <w:t>Heuristic at MEC</w:t>
            </w:r>
          </w:p>
        </w:tc>
        <w:tc>
          <w:tcPr>
            <w:tcW w:type="dxa" w:w="352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20"/>
              </w:rPr>
              <w:t>Heuristic at MEC</w:t>
            </w:r>
          </w:p>
        </w:tc>
      </w:tr>
      <w:tr>
        <w:tc>
          <w:tcPr>
            <w:tcW w:type="dxa" w:w="79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20"/>
              </w:rPr>
              <w:t>2</w:t>
            </w:r>
          </w:p>
        </w:tc>
        <w:tc>
          <w:tcPr>
            <w:tcW w:type="dxa" w:w="223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20"/>
              </w:rPr>
              <w:t>RL on RAN Spark</w:t>
            </w:r>
          </w:p>
        </w:tc>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20"/>
              </w:rPr>
              <w:t>Heuristic at MEC</w:t>
            </w:r>
          </w:p>
        </w:tc>
        <w:tc>
          <w:tcPr>
            <w:tcW w:type="dxa" w:w="352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20"/>
              </w:rPr>
              <w:t>Heuristic at MEC</w:t>
            </w:r>
          </w:p>
        </w:tc>
      </w:tr>
      <w:tr>
        <w:tc>
          <w:tcPr>
            <w:tcW w:type="dxa" w:w="79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20"/>
              </w:rPr>
              <w:t>3</w:t>
            </w:r>
          </w:p>
        </w:tc>
        <w:tc>
          <w:tcPr>
            <w:tcW w:type="dxa" w:w="223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20"/>
              </w:rPr>
              <w:t>RL on RAN Spark</w:t>
            </w:r>
          </w:p>
        </w:tc>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20"/>
              </w:rPr>
              <w:t>RL in EdgeRIC; MEC validates</w:t>
            </w:r>
          </w:p>
        </w:tc>
        <w:tc>
          <w:tcPr>
            <w:tcW w:type="dxa" w:w="352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20"/>
              </w:rPr>
              <w:t>Heuristic or RL; undecided</w:t>
            </w:r>
          </w:p>
        </w:tc>
      </w:tr>
    </w:tbl>
    <w:p/>
    <w:p>
      <w:pPr>
        <w:keepLines/>
      </w:pPr>
      <w:r>
        <w:rPr>
          <w:b/>
        </w:rPr>
        <w:t xml:space="preserve">R07  Selection and enforcement. </w:t>
      </w:r>
      <w:r>
        <w:t>Select policy modes at run startup, with independent GoP and CUDA-priority settings; no live policy switching. Use common catalogs, budgets, validation and telemetry across experiments. MEC jointly validates bitrate/DNN assignments and validates frame-priority proposals. Invalid, unavailable, obsolete or late RL replies invoke the local validated heuristic fallback; a late reply cannot override a resolved decision. RAN RL does not bypass OAI grant feasibility. [M43, M67; D69–D75]</w:t>
      </w:r>
    </w:p>
    <w:p>
      <w:pPr>
        <w:keepLines/>
      </w:pPr>
      <w:r>
        <w:t>R08  RL artifacts. Version the trained weights, observation schema, normalization, action interpretation and runtime requirements together. Include snapshot/request and decision identity in application-policy exchanges. Count serialization, transfer, inference and waiting as real overhead. Profile full round trip before enabling remote per-frame CUDA decisions. The first radio action interface and scope are now fixed in R30–R34; the detailed observation table remains proposed. Training and rewards remain open.</w:t>
      </w:r>
    </w:p>
    <w:p>
      <w:pPr>
        <w:pStyle w:val="Heading1"/>
      </w:pPr>
      <w:r>
        <w:t>3 Information exchange and timing</w:t>
      </w:r>
    </w:p>
    <w:p>
      <w:pPr>
        <w:keepLines/>
      </w:pPr>
      <w:r>
        <w:rPr>
          <w:b/>
        </w:rPr>
        <w:t xml:space="preserve">R09  Mutual awareness. </w:t>
      </w:r>
      <w:r>
        <w:t>Keep application-to-RAN and RAN-to-application information exchange active in all scenarios, including the all-heuristic baseline. MEC tells EdgeRIC what frame work is expected/observed and its deadline; EdgeRIC tells MEC what radio resources/service are available or allocated. This is information exchange, not an RL request and not a transfer of execution authority. [M69; D78–D82]</w:t>
      </w:r>
    </w:p>
    <w:p>
      <w:pPr>
        <w:keepLines/>
      </w:pPr>
      <w:r>
        <w:rPr>
          <w:b/>
        </w:rPr>
        <w:t xml:space="preserve">R10  Association updates. </w:t>
      </w:r>
      <w:r>
        <w:t>MEC sends ue_id, connection identity and separate address/freshness attributes to EdgeRIC. EdgeRIC combines them with verified radio/core context to bind ue_id to its radio identity. Keep RNTIs local to EdgeRIC/RAN. The authoritative address-to-radio mapping source and binding procedure remain open. [M05]</w:t>
      </w:r>
    </w:p>
    <w:p>
      <w:pPr>
        <w:keepLines/>
      </w:pPr>
      <w:r>
        <w:rPr>
          <w:b/>
        </w:rPr>
        <w:t xml:space="preserve">R11  Early frame descriptors. </w:t>
      </w:r>
      <w:r>
        <w:t>UE carries the established M59–M60 descriptor in the RTP extension, repeated identically on every frame packet. MEC validates/deduplicates it and immediately forwards the first valid descriptor to EdgeRIC over gRPC, before complete reception or decode. Forwarding is independent of inference admission. Preserve actual compressed access-unit bytes, frame/type/GoP/config/plan identity, media generation and timestamp validity. No separate per-frame UE WebSocket message or RAN acknowledgment is introduced. [M59–M63; D79–D81]</w:t>
      </w:r>
    </w:p>
    <w:p>
      <w:pPr>
        <w:keepLines/>
      </w:pPr>
      <w:r>
        <w:rPr>
          <w:b/>
        </w:rPr>
        <w:t xml:space="preserve">R12  Expected frame demand. </w:t>
      </w:r>
      <w:r>
        <w:t>MEC publishes session setup and versioned plan/configuration changes, including frame rate, GoP length, shared time/frame grid, keyframe offset and activation boundary. Distinguish current, pending and actually applied plans. EdgeRIC estimates expected frame types/sizes before actual descriptors arrive and reconciles against received metadata. A predicted size is never labeled actual. [M10, M63, M70; D82]</w:t>
      </w:r>
    </w:p>
    <w:p>
      <w:pPr>
        <w:keepLines/>
      </w:pPr>
      <w:r>
        <w:t>R13  Reception reconciliation. Add MEC-to-EdgeRIC messages describing observed reception progress and completion/loss/expiry for identified frames, separately from inference outcomes. Use them to correct estimated radio demand; complete reception closes that frame’s UL media demand even if inference later drops it. Progress fields and frequency are implementation choices governed by R42; duplicate/reordering safety is required by AC02. Cumulative unique received payload bytes are a proposed initial representation, not a settled wire schema.</w:t>
      </w:r>
    </w:p>
    <w:p>
      <w:pPr>
        <w:keepLines/>
      </w:pPr>
      <w:r>
        <w:rPr>
          <w:b/>
        </w:rPr>
        <w:t xml:space="preserve">R14  Radio reports. </w:t>
      </w:r>
      <w:r>
        <w:t>OAI supplies local measurements to EdgeRIC; EdgeRIC sends MEC reports keyed by ue_id, with total radio resource opportunity and per-UE allocated resources/achieved TBS. Use consecutive nonoverlapping 100-ms windows and 100-ms report intervals. Include window boundaries, sequence, source generation and validity. Stale means window end older than 300 ms. Validate actual counter semantics before labeling a measurement achieved service. [M55, M69; D10, D20, D46–D48]</w:t>
      </w:r>
    </w:p>
    <w:p>
      <w:pPr>
        <w:keepLines/>
      </w:pPr>
      <w:r>
        <w:t>R15  Cadence separation. The 100-ms MEC report interval is independent of OAI scheduling and EdgeRIC policy cadence. Produce weights each NR slot according to configured numerology, with next-slot scheduler consumption under R47–R50. Descriptors are forwarded immediately, not on the report timer. OAI grant feasibility, TDD opportunities and UL scheduling lookahead remain authoritative.</w:t>
      </w:r>
    </w:p>
    <w:p>
      <w:pPr>
        <w:keepLines/>
      </w:pPr>
      <w:r>
        <w:rPr>
          <w:b/>
        </w:rPr>
        <w:t xml:space="preserve">R16  Message contract. </w:t>
      </w:r>
      <w:r>
        <w:t>Use clear field names and explicit, consistently applied units documented in schema comments. Define run/message/source identity, sequence, clock domain, validity, configuration/plan versions and request correlation as appropriate. Preserve measured versus estimated status and provenance: the source/method that produced a value. Exact protobuf schemas, gRPC streaming arrangement and local scheduler-action encoding remain open.</w:t>
      </w:r>
    </w:p>
    <w:p>
      <w:pPr>
        <w:keepLines/>
      </w:pPr>
      <w:r>
        <w:rPr>
          <w:b/>
        </w:rPr>
        <w:t xml:space="preserve">R17  Clocks and generations. </w:t>
      </w:r>
      <w:r>
        <w:t>Use host monotonic clocks for local durations and UE monotonic time for UE-measured compliance. Cross-host deadlines/correlation use synchronized time and recorded mappings/offset uncertainty; never subtract raw monotonic times across hosts. Extend radio frame/slot identity across wraparound. Media epoch means receiver generation; connection/mapping/source generations reject obsolete state. Shared timing epoch T0 means the reference instant for interleaving. Keep these meanings separate. A control reconnect alone does not change an ongoing media epoch or tracker. [M26, M29, M60]</w:t>
      </w:r>
    </w:p>
    <w:p>
      <w:pPr>
        <w:pStyle w:val="Heading1"/>
      </w:pPr>
      <w:r>
        <w:t>4 Network reservation and frame accounting</w:t>
      </w:r>
    </w:p>
    <w:p>
      <w:pPr>
        <w:keepLines/>
      </w:pPr>
      <w:r>
        <w:rPr>
          <w:b/>
        </w:rPr>
        <w:t xml:space="preserve">R18  Network deadline. </w:t>
      </w:r>
      <w:r>
        <w:t>Retain B_network = SLO − mean_MEC and d_network = UE transmission start + B_network. Residence spans complete encoded-frame availability before decoding through serialized-result readiness. Condition its latest-ten-completion arithmetic mean on UE/application/DNN and compatible shape/precision; use required compatible offline initialization. Keep nonpositive budgets visible and already due. This is an average reservation, not a guarantee. [M30; D80]</w:t>
      </w:r>
    </w:p>
    <w:p>
      <w:pPr>
        <w:keepLines/>
      </w:pPr>
      <w:r>
        <w:rPr>
          <w:b/>
        </w:rPr>
        <w:t xml:space="preserve">R19  Return latency interpretation. </w:t>
      </w:r>
      <w:r>
        <w:t>The residual budget covers UL plus return delivery because residence excludes both. It is supplied to the RAN as a scheduling target; it does not guarantee timely complete UE receipt if UL consumes the whole residual. Keep the existing omission of return latency from predictions and measure it in compliance. No separate return reservation is adopted. The UL 1-Mbps encoding normalization does not apply automatically to DL results. Result size/transport time must be observed; segmentation output is not guaranteed small. [M35, M62; D23]</w:t>
      </w:r>
    </w:p>
    <w:p>
      <w:pPr>
        <w:keepLines/>
      </w:pPr>
      <w:r>
        <w:rPr>
          <w:b/>
        </w:rPr>
        <w:t xml:space="preserve">R20  Demand ledger. </w:t>
      </w:r>
      <w:r>
        <w:t>Track multiple outstanding frames per UE. Retain expected/actual encoded size, estimated protocol/radio work, scheduled/in-flight service, estimated unique delivery, observed reception, timestamps and validity. Before metadata arrives use compatible frame-type estimates with offline initialization; estimator details remain open. Keep provisional service history so actual-size arrival replaces the same frame’s estimate and reconciles work already served, rather than adding the full actual size again. [M61, M69; D79]</w:t>
      </w:r>
    </w:p>
    <w:p>
      <w:pPr>
        <w:keepLines/>
      </w:pPr>
      <w:r>
        <w:rPr>
          <w:b/>
        </w:rPr>
        <w:t xml:space="preserve">R21  Service is not scheduled capacity. </w:t>
      </w:r>
      <w:r>
        <w:t>Allocated TBS is transport-block capacity, not proof of successful unique application payload delivery. It can include headers, control, padding or other traffic; failed transmissions and retries consume resources; RLC may retransmit data. Debit a frame by attributable unique payload service or a clearly labeled conversion estimate, not raw scheduled TBS. Retain uncertainty when frame attribution is unavailable.</w:t>
      </w:r>
    </w:p>
    <w:p>
      <w:pPr>
        <w:keepLines/>
      </w:pPr>
      <w:r>
        <w:t>R22  Layer and boundary accounting. Preserve compressed access-unit bytes separately from converted demand. Account for repeated RTP extensions, packetization, transport/lower-layer headers, segmentation, padding, HARQ/RLC retries and non-MEC traffic without double counting. Use actual TBS/grant semantics for radio capacity. Do not assign all UE service to the newest frame when frames overlap. Deadline expiry marks demand overdue; the RAN continues transmitting the frame under R36. Expiry does not remove bytes from UE/bearer queues. Exact attribution/conversion and overdue weighting remain open. [D20, D79]</w:t>
      </w:r>
    </w:p>
    <w:p>
      <w:pPr>
        <w:pStyle w:val="Heading1"/>
      </w:pPr>
      <w:r>
        <w:t>5 Actuation and recovery</w:t>
      </w:r>
    </w:p>
    <w:p>
      <w:pPr>
        <w:keepLines/>
      </w:pPr>
      <w:r>
        <w:t>R23  Scheduling integration. For the first RAN RL iteration, use the existing UL weight-to-grant-cap interface (R30–R33). Preserve PF ordering, HARQ, SR/inactivity handling, MCS/power constraints, resource masks and valid allocation sizes. Rank and high/low allocation interfaces would require a later explicit decision. Whittle indexing remains an approach to explore; arbitrary learned weights do not establish a Whittle-index formulation.</w:t>
      </w:r>
    </w:p>
    <w:p>
      <w:pPr>
        <w:keepLines/>
      </w:pPr>
      <w:r>
        <w:rPr>
          <w:b/>
        </w:rPr>
        <w:t xml:space="preserve">R24  Versioned activation. </w:t>
      </w:r>
      <w:r>
        <w:t>Apply GoP/plan changes only at their designated future UE boundaries. Late/unready commands leave the prior configuration active; no mid-GoP application or readiness/commit exchange. Validate received actual versions, retain old-frame identity and retry inconsistent plans at a later boundary. Keep policy/configuration selection fixed within a run. [M10, M63, M70; D65–D69]</w:t>
      </w:r>
    </w:p>
    <w:p>
      <w:pPr>
        <w:keepLines/>
      </w:pPr>
      <w:r>
        <w:rPr>
          <w:b/>
        </w:rPr>
        <w:t xml:space="preserve">R25  Local action fallback. </w:t>
      </w:r>
      <w:r>
        <w:t>Validate local radio-action identity/generation, numerical values, target interval and age. Hold the last valid action only to an explicit short expiry, then restore ordinary OAI scheduling. Missing/ambiguous association must not apply another UE’s action. Action expiry and exact fallback scheduler configuration require measurement/specification. Malformed updates must not extend stale action validity indefinitely.</w:t>
      </w:r>
    </w:p>
    <w:p>
      <w:pPr>
        <w:keepLines/>
      </w:pPr>
      <w:r>
        <w:rPr>
          <w:b/>
        </w:rPr>
        <w:t xml:space="preserve">R26  Outage and recovery. </w:t>
      </w:r>
      <w:r>
        <w:t>Preserve MEC stale/outage behavior: stop invalid measurement updates, retain estimates with uncertainty, and after five seconds without usable reports block affected admissions/resumptions; existing videos continue best effort under the established policy. Distinguish this from the five-second network-observation reset. After process/transport recovery, rebuild associations and current demand/plans before trusting incremental updates; fence old callbacks/actions. Recovery state synchronization is separate from a UE GoP acknowledgment. [M55, M67–M68]</w:t>
      </w:r>
    </w:p>
    <w:p>
      <w:pPr>
        <w:pStyle w:val="Heading1"/>
      </w:pPr>
      <w:r>
        <w:t>6 Source observations awaiting deployed verification</w:t>
      </w:r>
    </w:p>
    <w:p>
      <w:r>
        <w:t>These V observations come from the October 15 attached files. They are implementation findings, not new policy decisions. Exact deployed commits, local patches and executable provenance have not been established. They describe the pre-repair snapshot: the later October 16 repair patch supersedes V02’s custom sizing path and the fractional-SNR/PF-multiplier details. These historical observations must not be used to undo the repairs.</w:t>
      </w:r>
    </w:p>
    <w:p>
      <w:r>
        <w:rPr>
          <w:b/>
        </w:rPr>
        <w:t xml:space="preserve">V01 Scheduler hook. </w:t>
      </w:r>
      <w:r>
        <w:t>gNB_scheduler.c reads weights before UL/DL scheduling. In gNB_scheduler_ulsch.c, pf_ul retains PF candidate ordering; the UL weight caps known-data PRBs against a post-retransmission beam budget. It preserves SR/inactivity and transform-precoding constraints. This is a grant cap, not index ordering.</w:t>
      </w:r>
    </w:p>
    <w:p>
      <w:r>
        <w:rPr>
          <w:b/>
        </w:rPr>
        <w:t xml:space="preserve">V02 DL dependency. </w:t>
      </w:r>
      <w:r>
        <w:t>gNB_scheduler_dlsch.c retains PF ordering and calls custom nr_find_nb_rb_new with RNTI and a span-derived budget. Its implementation is needed to establish DL weight effects.</w:t>
      </w:r>
    </w:p>
    <w:p>
      <w:r>
        <w:rPr>
          <w:b/>
        </w:rPr>
        <w:t xml:space="preserve">V03 Telemetry semantics. </w:t>
      </w:r>
      <w:r>
        <w:t>Existing rx_bytes/tx_bytes exports receive smoothed scheduling quantities. dl_tbs is a hypothetical PF calculation, not the final grant. ul_buffer receives sched_ul_bytes. Metrics enumerate CQI-map entries, default absent values to zero and clear several maps. Do not treat these exports as validated 100-ms delivered-byte counters.</w:t>
      </w:r>
    </w:p>
    <w:p>
      <w:r>
        <w:rPr>
          <w:b/>
        </w:rPr>
        <w:t xml:space="preserve">V04 Messaging behavior. </w:t>
      </w:r>
      <w:r>
        <w:t>edgeric_messenger.py uses ZeroMQ conflation, so received slot samples cannot be summed as a complete history. edgeric.cpp normalizes nonnegative directional weights, clears maps on an empty poll and retains previous maps for malformed input. send_weight.py hardcodes RNTIs/weights. No supplied file establishes Whittle inference or the required association/recovery contract.</w:t>
      </w:r>
    </w:p>
    <w:p>
      <w:pPr>
        <w:pStyle w:val="Heading1"/>
      </w:pPr>
      <w:r>
        <w:t>7 Open requirements and validation plan</w:t>
      </w:r>
    </w:p>
    <w:p>
      <w:r>
        <w:rPr>
          <w:b/>
        </w:rPr>
        <w:t xml:space="preserve">O01 Interfaces and mapping. </w:t>
      </w:r>
      <w:r>
        <w:t>Finalize protobuf fields, progress feedback frequency, source/connection/mapping generations, clock mapping/error handling, radio/core association source and recovery synchronization.</w:t>
      </w:r>
    </w:p>
    <w:p>
      <w:r>
        <w:rPr>
          <w:b/>
        </w:rPr>
        <w:t xml:space="preserve">O02 Counter contract. </w:t>
      </w:r>
      <w:r>
        <w:t>Validate producer counters and aggregation before use: initial/retry PRBs and TBS, successful MAC reception, unique upper-layer delivery, resets/wraparound and sample coverage. Define total versus schedulable/MEC-budget resources and resource time units consistently with D56. Aggregate before lossy publication; distinguish missing data from zero.</w:t>
      </w:r>
    </w:p>
    <w:p>
      <w:r>
        <w:t>O03 Radio policy. UL-only scope, per-frame network deadlines, DNN exclusion and the existing weight interface are fixed in R30–R34. Finalize observation selection, reward/training, timing validation under R47–R50, eligibility/normalization rules, action expiry, RL fairness treatment and remaining eligibility details. The initial heuristic and non-MEC coexistence are fixed in R51–R58, with overdue demand retained under R36. Preserve a PF reference. Unused-quota redistribution and rank control are not adopted.</w:t>
      </w:r>
    </w:p>
    <w:p>
      <w:r>
        <w:rPr>
          <w:b/>
        </w:rPr>
        <w:t xml:space="preserve">O04 Profiles and RL. </w:t>
      </w:r>
      <w:r>
        <w:t>Measure frame-size/conversion errors, usable budgets, clock uncertainty, local scheduling overhead, GoP command lead time, RPC deadlines and remote inference tails. Decide whether scenario 3 uses RL CUDA priorities and whether that is a third policy. Finalize training/checkpoints and exact radio-inference process placement.</w:t>
      </w:r>
    </w:p>
    <w:p>
      <w:r>
        <w:rPr>
          <w:b/>
        </w:rPr>
        <w:t xml:space="preserve">O05 Source inputs. </w:t>
      </w:r>
      <w:r>
        <w:t>Obtain exact OAI/SRK/EdgeRIC commits, local diffs, build/container versions, wrapper.h and implementation, edgeric.h, custom RB-sizing helpers, source .proto files/bindings, radio configuration, UL CRC/HARQ/RLC/PDCP counter paths and identity-mapping context. If using Windex artifacts, obtain their policy/training source and compatibility definitions.</w:t>
      </w:r>
    </w:p>
    <w:p>
      <w:pPr>
        <w:keepLines/>
      </w:pPr>
      <w:r>
        <w:rPr>
          <w:b/>
        </w:rPr>
        <w:t xml:space="preserve">R27  Staged validation. </w:t>
      </w:r>
      <w:r>
        <w:t>First establish build provenance, clocks and identity. Validate 100-ms telemetry under ordinary PF with controlled traffic/loss. Enable descriptors/expectations/reconciliation in shadow mode, computing/logging demand without changing grants. Establish the complete multi-UE heuristic MEC baseline with mutual awareness active. Then validate fixed radio controls and the chosen heuristic radio policy. Add RAN RL only after the action contract is verified; add remote application RL independently, with per-frame RL last if selected. [M76, M79]</w:t>
      </w:r>
    </w:p>
    <w:p>
      <w:pPr>
        <w:keepLines/>
      </w:pPr>
      <w:r>
        <w:rPr>
          <w:b/>
        </w:rPr>
        <w:t xml:space="preserve">R28  Experiment evidence. </w:t>
      </w:r>
      <w:r>
        <w:t>Link UE, MEC and EdgeRIC logs by run/UE/video/media generation/frame; retain radio identities only in local association records. Record telemetry windows/sequences/coverage, estimates and corrections, clock metadata, action/policy versions and ages, requested versus realized grants, retransmissions, fallback and actual plan application. Preserve all transmitted-frame outcomes, rejected/suspended work and return latency. Measure scheduler runtime and missed timing requirements. Write detailed logs asynchronously. Compare policies with the same offered load, profiles, budgets and runtime enforcement. [M31–M34, M71]</w:t>
      </w:r>
    </w:p>
    <w:p>
      <w:pPr>
        <w:keepLines/>
      </w:pPr>
      <w:r>
        <w:rPr>
          <w:b/>
        </w:rPr>
        <w:t xml:space="preserve">R29  Handoff and future consolidation. </w:t>
      </w:r>
      <w:r>
        <w:t>Maintain M, D and R records as versioned sources with stable decision IDs. Before implementation, consolidate their exact versions into an interface manifest, source-tree plan and decision-to-component validation checklist. Resolve real conflicts explicitly; do not silently reinterpret settled requirements. M78–M79 assign component/workstream ownership; named people may all be the same implementer. Existing single-video demos and current hooks are references, not a substitute for the specified architecture.</w:t>
      </w:r>
    </w:p>
    <w:p>
      <w:r>
        <w:br w:type="page"/>
      </w:r>
    </w:p>
    <w:p>
      <w:pPr>
        <w:pStyle w:val="Heading1"/>
      </w:pPr>
      <w:r>
        <w:t>8 Agreed initial RAN RL design</w:t>
      </w:r>
    </w:p>
    <w:p>
      <w:r>
        <w:t>October 19 update. The following decisions capture the user’s explicit agreements. Section 9 records proposed observation inputs for discussion, not a finalized feature vector. This update changes the specification only; it does not implement an agent or change the scheduler.</w:t>
      </w:r>
    </w:p>
    <w:p>
      <w:pPr>
        <w:keepLines/>
      </w:pPr>
      <w:r>
        <w:rPr>
          <w:b/>
        </w:rPr>
        <w:t xml:space="preserve">R30  UL scope. </w:t>
      </w:r>
      <w:r>
        <w:t>The first RAN RL agent schedules uplink only. Downlink scheduling remains under the existing configured policy. RAN actions do not select the UE encoding bitrate, DNN, CUDA priority, frame drops or transmit power. Application-level decisions retain MEC ownership.</w:t>
      </w:r>
    </w:p>
    <w:p>
      <w:pPr>
        <w:keepLines/>
      </w:pPr>
      <w:r>
        <w:rPr>
          <w:b/>
        </w:rPr>
        <w:t xml:space="preserve">R31  Per frame urgency. </w:t>
      </w:r>
      <w:r>
        <w:t>Use each outstanding frame’s network deadline, not one deadline for an entire UE/video session. The reservation remains R18/M30/D80. Convert absolute deadlines to remaining time using synchronized clock mappings and an explicit reference time; account for UL target-slot lookahead. Preserve negative remaining time or an overdue flag. Exact feature scaling remains open.</w:t>
      </w:r>
    </w:p>
    <w:p>
      <w:pPr>
        <w:keepLines/>
      </w:pPr>
      <w:r>
        <w:rPr>
          <w:b/>
        </w:rPr>
        <w:t xml:space="preserve">R32  Exclude DNN identity. </w:t>
      </w:r>
      <w:r>
        <w:t>Exclude the selected DNN model from the RAN policy’s observation. MEC still conditions residence/network reservation on that model, so model effects reach radio scheduling through frame deadlines. Model identity may remain in MEC records and correlation context; this does not make it a RAN policy feature.</w:t>
      </w:r>
    </w:p>
    <w:p>
      <w:pPr>
        <w:keepLines/>
      </w:pPr>
      <w:r>
        <w:rPr>
          <w:b/>
        </w:rPr>
        <w:t xml:space="preserve">R33  Existing weight interface. </w:t>
      </w:r>
      <w:r>
        <w:t>Use one normalized nonnegative UL weight per participating eligible UE in the first iteration. Weights sum to one over that set; no weighted new-data action is needed if the set is empty. OAI converts weights into bounded PRB caps while retaining PF candidate ordering and grant feasibility. Requested weight is not a guaranteed PRB or throughput share. Score normalization, exact eligibility rules and training parameterization remain to be specified. No individual-RB command interface is assumed.</w:t>
      </w:r>
    </w:p>
    <w:p>
      <w:pPr>
        <w:keepLines/>
      </w:pPr>
      <w:r>
        <w:rPr>
          <w:b/>
        </w:rPr>
        <w:t xml:space="preserve">R34  Frame demand and keyframe phase. </w:t>
      </w:r>
      <w:r>
        <w:t>Include remaining frame size and keyframe phase. Remaining size means estimated undelivered unique encoded payload, with layer conversion and uncertainty kept explicit under R20–R22. Keyframe phase is represented by time until the next expected keyframe, derived from the actually applied interval/offset, shared frame grid and reference epoch. Preserve unknown/stale expectations. Raw offset alone does not indicate how imminent a keyframe is.</w:t>
      </w:r>
    </w:p>
    <w:p>
      <w:r>
        <w:t>Encoding bitrate means the target bitrate selected by MEC’s GoP-wise bitrate/DNN scheduler, as actually applied to the observed frame’s GoP. It is not measured radio throughput and need not equal each frame’s size multiplied by FPS. Its inclusion in the observation is still proposed. A newly commanded bitrate must not overwrite the configuration of older outstanding frames.</w:t>
      </w:r>
    </w:p>
    <w:p>
      <w:r>
        <w:t>The initial multiple-frame representation is agreed in R35: oldest outstanding frame plus compact per-UE summaries. The broader feature list in Section 9 remains proposed except where explicitly adopted. This representation does not authorize packet reordering, frame dropping or a new queue limit.</w:t>
      </w:r>
    </w:p>
    <w:p>
      <w:r>
        <w:t>The 100-ms MEC reporting interval remains independent of radio-policy decision cadence specified in R47–R50. Observation history length, normalization, masks, service-event definitions, local measurement intervals, reward and learning method remain open. Estimated/delayed inputs make this a partially observed scheduling problem. Raw ue_id, RNTI, IP and frame UUID values are association/correlation metadata, not numerical predictive features.</w:t>
      </w:r>
    </w:p>
    <w:p>
      <w:pPr>
        <w:pStyle w:val="Heading1"/>
      </w:pPr>
      <w:r>
        <w:t>9 Proposed observation inputs and ARMA comparison</w:t>
      </w:r>
    </w:p>
    <w:p>
      <w:r>
        <w:t>The tables below retain every proposed input from the discussion. ARMA status refers to the published radio scheduler and mutual-awareness exchange, not all internal variables in its underlying RAN stack. “Direct” means explicit scheduling use; “Related” means an exchanged quantity, a derived analogue or implicit RAN machinery rather than the same feature; “Not specified” means the paper does not establish that metric as a radio-policy input. ARMA uses a heuristic scheduler, not an RL observation vector.</w:t>
      </w:r>
    </w:p>
    <w:p>
      <w:pPr>
        <w:pStyle w:val="Heading2"/>
        <w:pageBreakBefore/>
      </w:pPr>
      <w:r>
        <w:t>UE specific RAN information</w:t>
      </w:r>
    </w:p>
    <w:tbl>
      <w:tblPr>
        <w:tblW w:type="auto" w:w="0"/>
        <w:jc w:val="center"/>
        <w:tblLayout w:type="fixed"/>
        <w:tblLook w:firstColumn="1" w:firstRow="1" w:lastColumn="0" w:lastRow="0" w:noHBand="0" w:noVBand="1" w:val="04A0"/>
      </w:tblPr>
      <w:tblGrid>
        <w:gridCol w:w="2952"/>
        <w:gridCol w:w="1872"/>
        <w:gridCol w:w="5112"/>
      </w:tblGrid>
      <w:tr>
        <w:trPr>
          <w:cantSplit/>
          <w:tblHeader/>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pPr>
              <w:keepNext w:val="0"/>
              <w:keepLines w:val="0"/>
              <w:spacing w:after="40" w:line="240" w:lineRule="auto"/>
            </w:pPr>
            <w:r>
              <w:rPr>
                <w:b/>
                <w:color w:val="000000"/>
                <w:sz w:val="20"/>
              </w:rPr>
              <w:t>Proposed input</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pPr>
              <w:keepNext w:val="0"/>
              <w:keepLines w:val="0"/>
              <w:spacing w:after="40" w:line="240" w:lineRule="auto"/>
            </w:pPr>
            <w:r>
              <w:rPr>
                <w:b/>
                <w:color w:val="000000"/>
                <w:sz w:val="20"/>
              </w:rPr>
              <w:t>Units or representation</w:t>
            </w:r>
          </w:p>
        </w:tc>
        <w:tc>
          <w:tcPr>
            <w:tcW w:type="dxa" w:w="51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pPr>
              <w:keepNext w:val="0"/>
              <w:keepLines w:val="0"/>
              <w:spacing w:after="40" w:line="240" w:lineRule="auto"/>
            </w:pPr>
            <w:r>
              <w:rPr>
                <w:b/>
                <w:color w:val="000000"/>
                <w:sz w:val="20"/>
              </w:rPr>
              <w:t>Used in ARMA scheduling</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Estimated UL service capability</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Bytes per PRB for the applicable symbols</w:t>
            </w:r>
          </w:p>
        </w:tc>
        <w:tc>
          <w:tcPr>
            <w:tcW w:type="dxa" w:w="51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Direct analogue: per-RB spectral efficiency R(u,b), Eq. 9; RB/TBS capacity monitoring, §7.2.</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Current UL MCS</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Integer index</w:t>
            </w:r>
          </w:p>
        </w:tc>
        <w:tc>
          <w:tcPr>
            <w:tcW w:type="dxa" w:w="51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Related: MCS determines TBS (§7.1.1); not an explicit Eq. 9 input or Fig. 11–12 exchange field.</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Estimated pending UL data</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Bytes</w:t>
            </w:r>
          </w:p>
        </w:tc>
        <w:tc>
          <w:tcPr>
            <w:tcW w:type="dxa" w:w="51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Related: frame remaining buffer B(u), §6.2. An all-traffic UE backlog is not separately specified there.</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Outstanding grants awaiting reception or HARQ resolution</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Bytes</w:t>
            </w:r>
          </w:p>
        </w:tc>
        <w:tc>
          <w:tcPr>
            <w:tcW w:type="dxa" w:w="51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Not specified as a separate scheduling metric.</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Pending HARQ retransmission work</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Bytes</w:t>
            </w:r>
          </w:p>
        </w:tc>
        <w:tc>
          <w:tcPr>
            <w:tcW w:type="dxa" w:w="51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Not specified as a separate scheduling metric; underlying HARQ operation is distinct.</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Recent retransmission rate</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Fraction over a defined interval</w:t>
            </w:r>
          </w:p>
        </w:tc>
        <w:tc>
          <w:tcPr>
            <w:tcW w:type="dxa" w:w="51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Not specified as a separate input; §7.1.1 conversion example assumes no retransmission.</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Recent allocated resources</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PRB allocations over a defined interval</w:t>
            </w:r>
          </w:p>
        </w:tc>
        <w:tc>
          <w:tcPr>
            <w:tcW w:type="dxa" w:w="51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Related: num_RBs is exchanged, Fig. 12; not an explicit inner-utility input.</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Recent scheduled TBS</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Bytes over that interval</w:t>
            </w:r>
          </w:p>
        </w:tc>
        <w:tc>
          <w:tcPr>
            <w:tcW w:type="dxa" w:w="51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Related: TBS is exchanged (Fig. 12) and used in remaining-demand accounting (Eq. 11).</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Recent estimated unique payload delivery</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Bytes; validity indicated</w:t>
            </w:r>
          </w:p>
        </w:tc>
        <w:tc>
          <w:tcPr>
            <w:tcW w:type="dxa" w:w="51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Related estimate only: Eq. 11 uses overhead-adjusted allocated TBS; not verified unique payload delivery.</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Time since last service</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ms; define service event</w:t>
            </w:r>
          </w:p>
        </w:tc>
        <w:tc>
          <w:tcPr>
            <w:tcW w:type="dxa" w:w="51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Not specified. PF history is not the same metric.</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Previous requested UL weight</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Normalized value 0–1</w:t>
            </w:r>
          </w:p>
        </w:tc>
        <w:tc>
          <w:tcPr>
            <w:tcW w:type="dxa" w:w="51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Not specified; ARMA’s Algorithm 1 does not use this weight interface.</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Age of previous action</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ms</w:t>
            </w:r>
          </w:p>
        </w:tc>
        <w:tc>
          <w:tcPr>
            <w:tcW w:type="dxa" w:w="51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Not specified as a scheduling input.</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Measurement ages</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ms per source or metric</w:t>
            </w:r>
          </w:p>
        </w:tc>
        <w:tc>
          <w:tcPr>
            <w:tcW w:type="dxa" w:w="51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Not specified as explicit features; header notification delay is acknowledged.</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Measurement validity</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Boolean masks</w:t>
            </w:r>
          </w:p>
        </w:tc>
        <w:tc>
          <w:tcPr>
            <w:tcW w:type="dxa" w:w="51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Not specified as explicit features.</w:t>
            </w:r>
          </w:p>
        </w:tc>
      </w:tr>
    </w:tbl>
    <w:p/>
    <w:p>
      <w:pPr>
        <w:pStyle w:val="Heading2"/>
        <w:pageBreakBefore/>
      </w:pPr>
      <w:r>
        <w:t>Aggregate and shared RAN information</w:t>
      </w:r>
    </w:p>
    <w:tbl>
      <w:tblPr>
        <w:tblW w:type="auto" w:w="0"/>
        <w:jc w:val="center"/>
        <w:tblLayout w:type="fixed"/>
        <w:tblLook w:firstColumn="1" w:firstRow="1" w:lastColumn="0" w:lastRow="0" w:noHBand="0" w:noVBand="1" w:val="04A0"/>
      </w:tblPr>
      <w:tblGrid>
        <w:gridCol w:w="2952"/>
        <w:gridCol w:w="1872"/>
        <w:gridCol w:w="5112"/>
      </w:tblGrid>
      <w:tr>
        <w:trPr>
          <w:cantSplit/>
          <w:tblHeader/>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pPr>
              <w:keepNext w:val="0"/>
              <w:keepLines w:val="0"/>
              <w:spacing w:after="40" w:line="240" w:lineRule="auto"/>
            </w:pPr>
            <w:r>
              <w:rPr>
                <w:b/>
                <w:color w:val="000000"/>
                <w:sz w:val="20"/>
              </w:rPr>
              <w:t>Proposed input</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pPr>
              <w:keepNext w:val="0"/>
              <w:keepLines w:val="0"/>
              <w:spacing w:after="40" w:line="240" w:lineRule="auto"/>
            </w:pPr>
            <w:r>
              <w:rPr>
                <w:b/>
                <w:color w:val="000000"/>
                <w:sz w:val="20"/>
              </w:rPr>
              <w:t>Units or representation</w:t>
            </w:r>
          </w:p>
        </w:tc>
        <w:tc>
          <w:tcPr>
            <w:tcW w:type="dxa" w:w="51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pPr>
              <w:keepNext w:val="0"/>
              <w:keepLines w:val="0"/>
              <w:spacing w:after="40" w:line="240" w:lineRule="auto"/>
            </w:pPr>
            <w:r>
              <w:rPr>
                <w:b/>
                <w:color w:val="000000"/>
                <w:sz w:val="20"/>
              </w:rPr>
              <w:t>Used in ARMA scheduling</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Available UL resource budget</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PRBs for target opportunity</w:t>
            </w:r>
          </w:p>
        </w:tc>
        <w:tc>
          <w:tcPr>
            <w:tcW w:type="dxa" w:w="51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Related: RB availability and N_total_RBs, §7.2/Fig. 12. Our target-slot residual definition is more specific.</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Resources committed to retransmissions</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PRBs</w:t>
            </w:r>
          </w:p>
        </w:tc>
        <w:tc>
          <w:tcPr>
            <w:tcW w:type="dxa" w:w="51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Not specified as a separate input.</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Resources unavailable for control or reservations</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Explicit resource accounting</w:t>
            </w:r>
          </w:p>
        </w:tc>
        <w:tc>
          <w:tcPr>
            <w:tcW w:type="dxa" w:w="51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Not specified as a separate feature; PHY overhead is discussed separately.</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Usable UL symbols</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Symbol count</w:t>
            </w:r>
          </w:p>
        </w:tc>
        <w:tc>
          <w:tcPr>
            <w:tcW w:type="dxa" w:w="51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Not specified as a scheduling feature; underlying radio allocation context.</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Active UE count</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Integer</w:t>
            </w:r>
          </w:p>
        </w:tc>
        <w:tc>
          <w:tcPr>
            <w:tcW w:type="dxa" w:w="51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Related: scheduler considers UEs and VA/non-VA groups; not a separately stated scalar input.</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Eligible UE count</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Integer</w:t>
            </w:r>
          </w:p>
        </w:tc>
        <w:tc>
          <w:tcPr>
            <w:tcW w:type="dxa" w:w="51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Related: candidate groups are constructed in Algorithm 1; not the same explicit scalar.</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UE presence and scheduling eligibility</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Boolean masks</w:t>
            </w:r>
          </w:p>
        </w:tc>
        <w:tc>
          <w:tcPr>
            <w:tcW w:type="dxa" w:w="51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Related: UE/group membership is used; padded neural-observation masks are our proposal.</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Elapsed time since previous policy decision</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ms</w:t>
            </w:r>
          </w:p>
        </w:tc>
        <w:tc>
          <w:tcPr>
            <w:tcW w:type="dxa" w:w="51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Not specified; Algorithm 1 is triggered each TTI.</w:t>
            </w:r>
          </w:p>
        </w:tc>
      </w:tr>
    </w:tbl>
    <w:p/>
    <w:p>
      <w:pPr>
        <w:pStyle w:val="Heading2"/>
        <w:pageBreakBefore/>
      </w:pPr>
      <w:r>
        <w:t>Single frame information</w:t>
      </w:r>
    </w:p>
    <w:tbl>
      <w:tblPr>
        <w:tblW w:type="auto" w:w="0"/>
        <w:jc w:val="center"/>
        <w:tblLayout w:type="fixed"/>
        <w:tblLook w:firstColumn="1" w:firstRow="1" w:lastColumn="0" w:lastRow="0" w:noHBand="0" w:noVBand="1" w:val="04A0"/>
      </w:tblPr>
      <w:tblGrid>
        <w:gridCol w:w="2952"/>
        <w:gridCol w:w="1872"/>
        <w:gridCol w:w="5112"/>
      </w:tblGrid>
      <w:tr>
        <w:trPr>
          <w:cantSplit/>
          <w:tblHeader/>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pPr>
              <w:keepNext w:val="0"/>
              <w:keepLines w:val="0"/>
              <w:spacing w:after="40" w:line="240" w:lineRule="auto"/>
            </w:pPr>
            <w:r>
              <w:rPr>
                <w:b/>
                <w:color w:val="000000"/>
                <w:sz w:val="20"/>
              </w:rPr>
              <w:t>Proposed input</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pPr>
              <w:keepNext w:val="0"/>
              <w:keepLines w:val="0"/>
              <w:spacing w:after="40" w:line="240" w:lineRule="auto"/>
            </w:pPr>
            <w:r>
              <w:rPr>
                <w:b/>
                <w:color w:val="000000"/>
                <w:sz w:val="20"/>
              </w:rPr>
              <w:t>Units or representation</w:t>
            </w:r>
          </w:p>
        </w:tc>
        <w:tc>
          <w:tcPr>
            <w:tcW w:type="dxa" w:w="51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pPr>
              <w:keepNext w:val="0"/>
              <w:keepLines w:val="0"/>
              <w:spacing w:after="40" w:line="240" w:lineRule="auto"/>
            </w:pPr>
            <w:r>
              <w:rPr>
                <w:b/>
                <w:color w:val="000000"/>
                <w:sz w:val="20"/>
              </w:rPr>
              <w:t>Used in ARMA scheduling</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Oldest outstanding frame remaining payload</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Bytes</w:t>
            </w:r>
          </w:p>
        </w:tc>
        <w:tc>
          <w:tcPr>
            <w:tcW w:type="dxa" w:w="51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Direct analogue: B(u) in Eq. 9 and remaining demand in Eq. 11; our unique-payload accounting is stricter.</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Time remaining until its network deadline</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ms; negative when overdue</w:t>
            </w:r>
          </w:p>
        </w:tc>
        <w:tc>
          <w:tcPr>
            <w:tcW w:type="dxa" w:w="51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Direct: D(u) in Eq. 9; absolute deadline in Fig. 11. ARMA clamps urgency using delta.</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Frame type</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IDR, other I, P or unknown</w:t>
            </w:r>
          </w:p>
        </w:tc>
        <w:tc>
          <w:tcPr>
            <w:tcW w:type="dxa" w:w="51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Direct use for interim size estimation, §7.1.1; our exact enum is not ARMA’s specified format.</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Total size actual or estimated flag</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Boolean or category</w:t>
            </w:r>
          </w:p>
        </w:tc>
        <w:tc>
          <w:tcPr>
            <w:tcW w:type="dxa" w:w="51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Related: ARMA distinguishes interim type-based estimates from actual size; no explicit policy flag specified.</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Remaining payload estimate validity and age</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Boolean and ms</w:t>
            </w:r>
          </w:p>
        </w:tc>
        <w:tc>
          <w:tcPr>
            <w:tcW w:type="dxa" w:w="51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Not specified as explicit scheduling inputs.</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Actually applied encoding bitrate</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bit/s for the frame’s GoP</w:t>
            </w:r>
          </w:p>
        </w:tc>
        <w:tc>
          <w:tcPr>
            <w:tcW w:type="dxa" w:w="51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Not explicit in radio scheduler. Selected by application scheduler; absent from Fig. 11.</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Time until next expected keyframe</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ms</w:t>
            </w:r>
          </w:p>
        </w:tc>
        <w:tc>
          <w:tcPr>
            <w:tcW w:type="dxa" w:w="51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Derived analogue: keyframe interval/offset and frame identity, Fig. 11/§7.3, support expectation. This exact scalar is our proposal.</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Keyframe expectation validity</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Boolean</w:t>
            </w:r>
          </w:p>
        </w:tc>
        <w:tc>
          <w:tcPr>
            <w:tcW w:type="dxa" w:w="51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Not specified as an explicit scheduling input.</w:t>
            </w:r>
          </w:p>
        </w:tc>
      </w:tr>
    </w:tbl>
    <w:p/>
    <w:p>
      <w:pPr>
        <w:pStyle w:val="Heading2"/>
        <w:pageBreakBefore/>
      </w:pPr>
      <w:r>
        <w:t>Multiple frame information</w:t>
      </w:r>
    </w:p>
    <w:tbl>
      <w:tblPr>
        <w:tblW w:type="auto" w:w="0"/>
        <w:jc w:val="center"/>
        <w:tblLayout w:type="fixed"/>
        <w:tblLook w:firstColumn="1" w:firstRow="1" w:lastColumn="0" w:lastRow="0" w:noHBand="0" w:noVBand="1" w:val="04A0"/>
      </w:tblPr>
      <w:tblGrid>
        <w:gridCol w:w="2952"/>
        <w:gridCol w:w="1872"/>
        <w:gridCol w:w="5112"/>
      </w:tblGrid>
      <w:tr>
        <w:trPr>
          <w:cantSplit/>
          <w:tblHeader/>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pPr>
              <w:keepNext w:val="0"/>
              <w:keepLines w:val="0"/>
              <w:spacing w:after="40" w:line="240" w:lineRule="auto"/>
            </w:pPr>
            <w:r>
              <w:rPr>
                <w:b/>
                <w:color w:val="000000"/>
                <w:sz w:val="20"/>
              </w:rPr>
              <w:t>Proposed input</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pPr>
              <w:keepNext w:val="0"/>
              <w:keepLines w:val="0"/>
              <w:spacing w:after="40" w:line="240" w:lineRule="auto"/>
            </w:pPr>
            <w:r>
              <w:rPr>
                <w:b/>
                <w:color w:val="000000"/>
                <w:sz w:val="20"/>
              </w:rPr>
              <w:t>Units or representation</w:t>
            </w:r>
          </w:p>
        </w:tc>
        <w:tc>
          <w:tcPr>
            <w:tcW w:type="dxa" w:w="51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pPr>
              <w:keepNext w:val="0"/>
              <w:keepLines w:val="0"/>
              <w:spacing w:after="40" w:line="240" w:lineRule="auto"/>
            </w:pPr>
            <w:r>
              <w:rPr>
                <w:b/>
                <w:color w:val="000000"/>
                <w:sz w:val="20"/>
              </w:rPr>
              <w:t>Used in ARMA scheduling</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Outstanding frame count</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Integer</w:t>
            </w:r>
          </w:p>
        </w:tc>
        <w:tc>
          <w:tcPr>
            <w:tcW w:type="dxa" w:w="51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Not specified as a per-UE radio scheduling metric.</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Total remaining payload across frames</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Bytes</w:t>
            </w:r>
          </w:p>
        </w:tc>
        <w:tc>
          <w:tcPr>
            <w:tcW w:type="dxa" w:w="51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Not specified as this multi-frame summary; ARMA explicitly tracks current-frame remaining demand.</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Time until earliest outstanding network deadline</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ms</w:t>
            </w:r>
          </w:p>
        </w:tc>
        <w:tc>
          <w:tcPr>
            <w:tcW w:type="dxa" w:w="51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Not specified as a multi-frame minimum; Eq. 9 uses the current frame’s deadline.</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Remaining payload belonging to overdue frames</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Bytes</w:t>
            </w:r>
          </w:p>
        </w:tc>
        <w:tc>
          <w:tcPr>
            <w:tcW w:type="dxa" w:w="51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Not specified as a backlog summary; overdue current-frame urgency is handled with delta in Eq. 9.</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Summary validity and freshness</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Boolean and ms</w:t>
            </w:r>
          </w:p>
        </w:tc>
        <w:tc>
          <w:tcPr>
            <w:tcW w:type="dxa" w:w="51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val="0"/>
              <w:keepLines w:val="0"/>
              <w:spacing w:after="40" w:line="240" w:lineRule="auto"/>
            </w:pPr>
            <w:r>
              <w:rPr>
                <w:b w:val="0"/>
                <w:color w:val="000000"/>
                <w:sz w:val="20"/>
              </w:rPr>
              <w:t>Not specified as explicit scheduling inputs.</w:t>
            </w:r>
          </w:p>
        </w:tc>
      </w:tr>
    </w:tbl>
    <w:p/>
    <w:p>
      <w:r>
        <w:t>Accounting notes. Pending UE bytes, outstanding grants, HARQ work and frame remaining bytes overlap conceptually; do not sum them into a new backlog. Define each boundary and layer. Likewise distinguish total target-slot opportunity from reservations and the residual new-data budget. Multi-frame summaries include the oldest frame; the earliest deadline can belong to a later frame if GoP/model-conditioned budgets change.</w:t>
      </w:r>
    </w:p>
    <w:p>
      <w:r>
        <w:t>ARMA comparison source: Yi et al., Towards End-to-End Latency Guarantee in MEC Live Video Analytics with App-RAN Mutual Awareness, MobiSys 2025, supplied arma(4).pdf. See §6.2, Algorithm 1 and Eq. 9 for PF/spectral efficiency/frame size/remaining demand/deadline; §7.1.1 and Eqs. 10–11 for size estimation and conversion; §§7.2–7.3 and Figs. 11–12 for the bidirectional exchange. https://daehyeok.kim/assets/papers/arma-mobisys25.pdf. Accessed October 19 2026 through supplied paper.</w:t>
      </w:r>
    </w:p>
    <w:p>
      <w:r>
        <w:t>Comparison limitation. ARMA’s Eq. 9 also uses total current-frame size F(u) and PF coefficients. The table reproduces our proposed observation list, not every ARMA variable. Whether to add original frame size, completion fraction or an explicit PF-history feature remains open; their presence in ARMA is not an automatic adoption here.</w:t>
      </w:r>
    </w:p>
    <w:p>
      <w:pPr>
        <w:pStyle w:val="Heading1"/>
        <w:pageBreakBefore/>
      </w:pPr>
      <w:r>
        <w:t>10 Radio demand observation and replay acceptance</w:t>
      </w:r>
    </w:p>
    <w:p>
      <w:r>
        <w:t>R35  Multiple frame representation. For the first iteration, expose the oldest outstanding frame plus compact per-UE summaries: outstanding frame count, total remaining encoded payload, earliest network deadline and remaining payload belonging to overdue frames. Totals include the oldest frame exactly once. Oldest means earliest UE transmission start, not earliest deadline; use the shared frame grid and frame ordering when that start is estimated. Preserve estimate/validity status. Reception completion removes a frame from outstanding UL demand. A newer frame may carry the earliest deadline. No fixed explicit frame list is required.</w:t>
      </w:r>
    </w:p>
    <w:p>
      <w:r>
        <w:t>R36  Continue transmission after deadline. If a frame deadline expires before reception completes, the RAN must continue serving the frame. Expiry alone must not drop, cancel, clear, permanently exclude or permanently starve its outstanding traffic. Keep the frame in demand state and summaries, mark it overdue, and retain negative remaining time or an overdue indicator. Normal OAI feasibility and radio availability still apply; this is not a completion-time guarantee. Exact relative priority against on-time work remains open. Separate explicit lifecycle events remain distinct from deadline expiry.</w:t>
      </w:r>
    </w:p>
    <w:p>
      <w:r>
        <w:t>R37  Replay validation. Before policy evaluation, validate demand accounting and observations with deterministic controlled event sequences and time advances. Supply frame metadata, radio measurements, reception feedback and association/session events without requiring live phones, a radio or an RL agent. Check state and observations at specified decision times, using only information available by each snapshot. The same input sequence and configuration must reproduce the same result. These tests validate policy inputs, not scheduling performance or real-world estimator accuracy.</w:t>
      </w:r>
    </w:p>
    <w:p>
      <w:r>
        <w:t>Acceptance scope. AC01–AC05 below are required. They establish observable outcomes without prescribing internal classes, storage or a test framework. Actual-size corrections and reception progress remain distinct from scheduled TBS under R20–R22. Prediction/conversion formulas, reconciliation wire fields and measurement-dependent thresholds remain to be specified. Reconnect recovery must distinguish a resumed session from a new session; a transport reconnect alone does not create a new media generation (R17).</w:t>
      </w:r>
    </w:p>
    <w:p>
      <w:pPr>
        <w:pStyle w:val="Heading2"/>
        <w:pageBreakBefore/>
      </w:pPr>
      <w:r>
        <w:t>Replay acceptance cases</w:t>
      </w:r>
    </w:p>
    <w:p>
      <w:pPr>
        <w:pStyle w:val="Heading3"/>
      </w:pPr>
      <w:r>
        <w:t>AC01 Late actual size</w:t>
      </w:r>
    </w:p>
    <w:p>
      <w:r>
        <w:t>Events: Predict a frame size; record service; receive actual size and then MEC reception progress. Exercise actual sizes above and below the prediction.</w:t>
      </w:r>
    </w:p>
    <w:p>
      <w:r>
        <w:t>Pass: Replace the size estimate without erasing service already accounted for or subtracting it twice. Reconcile reception with prior estimates. Remaining demand is nonnegative; scheduled capacity, estimated unique delivery and confirmed reception remain distinct.</w:t>
      </w:r>
    </w:p>
    <w:p>
      <w:pPr>
        <w:pStyle w:val="Heading3"/>
      </w:pPr>
      <w:r>
        <w:t>AC02 Duplicates and reordering</w:t>
      </w:r>
    </w:p>
    <w:p>
      <w:r>
        <w:t>Events: Repeat a frame notification; deliver newer reception progress before an older update; repeat completion.</w:t>
      </w:r>
    </w:p>
    <w:p>
      <w:r>
        <w:t>Pass: Keep one frame record. Duplicates have no additional effect. Obsolete updates cannot reverse confirmed progress or reopen completed demand. Distinguish an explicitly versioned correction from an obsolete message.</w:t>
      </w:r>
    </w:p>
    <w:p>
      <w:pPr>
        <w:pStyle w:val="Heading3"/>
      </w:pPr>
      <w:r>
        <w:t>AC03 Overlapping frames</w:t>
      </w:r>
    </w:p>
    <w:p>
      <w:r>
        <w:t>Events: Make A, B and C outstanding; let B have an earlier deadline than A; complete A.</w:t>
      </w:r>
    </w:p>
    <w:p>
      <w:r>
        <w:t>Pass: Initially A supplies oldest-frame fields and B supplies earliest-deadline summary. Count and sum each frame once, including A. On completion remove A from outstanding demand and make B the oldest. Preserve per-frame size/configuration and deadline identity.</w:t>
      </w:r>
    </w:p>
    <w:p>
      <w:pPr>
        <w:pStyle w:val="Heading3"/>
      </w:pPr>
      <w:r>
        <w:t>AC04 Deadline expiry</w:t>
      </w:r>
    </w:p>
    <w:p>
      <w:r>
        <w:t>Events: Advance beyond an incomplete frame’s network deadline; continue service; later report progress and completion.</w:t>
      </w:r>
    </w:p>
    <w:p>
      <w:r>
        <w:t>Pass: Retain outstanding demand and add it to overdue summaries. Preserve overdue status/negative time. Continued UL service remains allowed and the policy must not exclude the frame solely due to expiry. Later progress reduces demand; completion closes it. Verify transmission behavior in policy/integration validation as well as replay state.</w:t>
      </w:r>
    </w:p>
    <w:p>
      <w:pPr>
        <w:pStyle w:val="Heading3"/>
      </w:pPr>
      <w:r>
        <w:t>AC05 Reconnect and old messages</w:t>
      </w:r>
    </w:p>
    <w:p>
      <w:r>
        <w:t>Events: Disconnect a UE; establish a new association or video session; then deliver old callbacks, messages and actions. Also exercise resumption of the same session.</w:t>
      </w:r>
    </w:p>
    <w:p>
      <w:r>
        <w:t>Pass: Fence obsolete associations/actions and old-session messages. A new session has separate state. For a resumed session, synchronize retained demand and reception before trusting increments. No old RAN identity receives a current action; no reconnect alone resets media identity.</w:t>
      </w:r>
    </w:p>
    <w:p>
      <w:pPr>
        <w:pStyle w:val="Heading1"/>
        <w:pageBreakBefore/>
      </w:pPr>
      <w:r>
        <w:t>11 Accepted demand state criteria</w:t>
      </w:r>
    </w:p>
    <w:p>
      <w:r>
        <w:t>R38  Frame identity. Uniquely identify each frame within UE/session/media context across identifier reuse and process restart. Resolve predicted and actual descriptors to the same record. Duplicate/obsolete messages cannot duplicate demand or modify another session. Radio reassociation preserves ongoing frame identity.</w:t>
      </w:r>
    </w:p>
    <w:p>
      <w:r>
        <w:t>R39  Value status. Distinguish unknown from valid zero, actual from predicted size, and confirmed reception from estimated delivery. Retain timing/source information sufficient to determine age and validity. Reject malformed or impossible values without corrupting valid state.</w:t>
      </w:r>
    </w:p>
    <w:p>
      <w:r>
        <w:t>R40  Estimation and reconciliation. Before metadata arrives, produce labeled estimates using compatible frame-type/configuration information and established initialization profiles. Actual-size arrival replaces the estimate while preserving accounted service. Reconcile reception without double counting. Remaining demand is nonnegative; estimated zero does not establish confirmed complete reception.</w:t>
      </w:r>
    </w:p>
    <w:p>
      <w:r>
        <w:t>R41  Conversion and attribution. Never label scheduled TBS as confirmed unique payload delivery. Account for relevant overhead, retries and unrelated traffic; document assumptions where direct measurement is unavailable. Do not credit the same service to multiple frames. Preserve uncertainty for unattributable service.</w:t>
      </w:r>
    </w:p>
    <w:p>
      <w:r>
        <w:t>R42  Reception feedback. MEC feedback concerns unique encoded payload received for a frame, before decoding/inference; it is distinct from inference completion and result receipt at UE. Identify frame, measurement time and update ordering. Reconcile unique reception safely under duplicates/reordering. Forward complete reception promptly without waiting for inference. Progress may be coalesced; document and test its configured maximum delay under supported load. Exact representation and interval are delegated implementation choices, subject to the established shared contracts.</w:t>
      </w:r>
    </w:p>
    <w:p>
      <w:r>
        <w:t>R43  Lifecycle. Distinguish expected, outstanding, overdue and reception-complete conditions. Apply R36 on expiry. An inference drop does not imply transmission cancellation. Any explicit abandonment identifies source/reason and separates ending application tracking from confirmed radio-queue removal. Delayed messages cannot accidentally reopen finalized records.</w:t>
      </w:r>
    </w:p>
    <w:p>
      <w:r>
        <w:t>R44  Freshness and clocks. Calculate age from measurement time, not merely arrival time. Never subtract incompatible clock domains. Expose clock uncertainty and missing/stale inputs; apply documented degradation/fallback. Preserve the established radio-report threshold. Additional thresholds are configurable and tested at boundaries; they are not automatically 300 ms.</w:t>
      </w:r>
    </w:p>
    <w:p>
      <w:r>
        <w:t>R45  Recovery and bounded storage. Synchronize associations, applied plans and outstanding demand before trusting recovery increments. Retire completed records without allowing old messages to recreate demand. Bound storage and pending queues under prolonged loss/disconnection; retirement must not silently cancel transmission or violate R36.</w:t>
      </w:r>
    </w:p>
    <w:p>
      <w:r>
        <w:t>R46  Evidence and implementation latitude. Pass AC01–AC05 plus checks for unknown versus zero, stale boundaries, clock errors and retirement. Log corrections, reconciliation, rejected updates and fallback; measure prediction error, feedback age and processing overhead. Accuracy/timing targets requiring profiling remain unvalidated until measured. Choose the simplest implementation satisfying M/D/R decisions; document assumptions and initial configurable defaults. Escalate only choices changing scheduling behavior, authority, established shared contracts or experimental interpretation. Final observation selection remains separate; the reduced subset discussed after R37 is not adopted.</w:t>
      </w:r>
    </w:p>
    <w:p>
      <w:pPr>
        <w:pStyle w:val="Heading1"/>
        <w:pageBreakBefore/>
      </w:pPr>
      <w:r>
        <w:t>12 Slot cadence and consumption deadline</w:t>
      </w:r>
    </w:p>
    <w:p>
      <w:r>
        <w:t>R47  Numerology driven cadence. Produce a fresh UL weight vector every NR slot, aligned with gNB slot progression and derived from configured numerology, rather than a hardcoded timer. For normal cyclic prefix, nominal slot duration is 1 ms / 2^mu. Initial deployment uses mu = 1, 30 kHz SCS: 0.5 ms slots and 2000 decision opportunities per second. With no eligible UEs, no allocation action is needed (R33).</w:t>
      </w:r>
    </w:p>
    <w:p>
      <w:r>
        <w:t>R48  One slot control pipeline. Compute weights during slot k for consumption in OAI scheduling invocation k+1. Make the vector available before that invocation reaches its nonblocking weight-consumption point. Record source snapshot/slot and intended consumption slot with wraparound-safe identity. Next-slot consumption does not imply next-slot over-the-air UL transmission: identify the future UL allocation opportunity affected by OAI grant lookahead and TDD. Verify this mapping in the deployed OAI integration; do not infer it solely from the EdgeRIC paper.</w:t>
      </w:r>
    </w:p>
    <w:p>
      <w:r>
        <w:t>R49  Nonblocking and target validity. Maintain slot cadence; apply weights only where eligible UL allocation exists. Use the latest available demand and local RAN state without waiting for MEC messages. Reject outputs whose consumption target has passed; late output cannot silently slide to another invocation. OAI never waits for inference. Apply R25 fallback under its explicit expiry rules; malformed updates do not refresh validity. The exact bounded hold/expiry setting remains a documented implementation/profiling choice. No applicable UL opportunity means no UL allocation action.</w:t>
      </w:r>
    </w:p>
    <w:p>
      <w:r>
        <w:t>R50  Timing acceptance. Log observation reference time, source slot, intended consumption slot, applicable UL target, output-ready time, actual consumption, policy/action version and missed deadline/fallback. Demonstrate sustained operation at mu = 1 under intended UE load; report the measured deadline-miss rate and latency tails. Include observation construction, inference, validation and local delivery in the budget. Test numerology-derived cadence, slot wraparound, no-UL opportunities and injected late outputs. The usable budget ends at the consumption cutoff and can be shorter than a slot. Required cadence is established; achieved timing remains a measurement, not an assumed guarantee. Detailed logging stays asynchronous (R28).</w:t>
      </w:r>
    </w:p>
    <w:p>
      <w:r>
        <w:t>Timing references. 3GPP TS 38.211, Table 4.3.2-1, defines slots per subframe by numerology. Ko et al., EdgeRIC: Empowering Realtime Intelligent Optimization and Control in NextG Networks, Fig. 5 and Section 5.1, describe next-TTI action consumption in the srsRAN integration. This supports the intended control pipeline, not proof of deployed OAI timing. https://wcsng.ucsd.edu/files/edgeric.pdf. Accessed October 19 2026.</w:t>
      </w:r>
    </w:p>
    <w:p>
      <w:pPr>
        <w:pStyle w:val="Heading1"/>
        <w:pageBreakBefore/>
      </w:pPr>
      <w:r>
        <w:t>13 Heuristic UL scheduler baseline</w:t>
      </w:r>
    </w:p>
    <w:p>
      <w:r>
        <w:t>R51  Objective and scope. Use ARMA-inspired utility weighting for participating MEC UEs through the existing UL cap interface. Non-MEC UEs retain unweighted OAI PF treatment. This is not an equivalent implementation of ARMA: it does not implement its per-RB PF-qualified candidate selection or preserve its group allocation protection. Weights request caps, not guaranteed PRBs, throughput or timely completion. RL observations and reward remain deferred.</w:t>
      </w:r>
    </w:p>
    <w:p>
      <w:r>
        <w:t>R52  Utility and normalization. For each participating eligible MEC UE u with usable inputs, compute the score below from its oldest outstanding frame. Normalize scores over that MEC set: w_u = s_u / sum_v(s_v). Initially alpha = beta = 1. Floors B_min and delta are positive, configurable and recorded with units. Validate finite nonnegative weights and a sum of one within numerical tolerance. No eligible MEC UEs means no MEC allocation action. Missing/stale/unusable inputs or an unusable score sum invoke documented fallback; never fabricate urgency or divide by zero.</w:t>
      </w:r>
    </w:p>
    <w:p>
      <w:r>
        <w:t>s_u = R_hat_u * (F_u / max(B_u, B_min))^alpha / max(D_u, delta)^beta</w:t>
      </w:r>
    </w:p>
    <w:p>
      <w:r>
        <w:t>F_u is the actual or estimated total encoded frame size in bytes. B_u is that same frame’s estimated remaining unique encoded payload in bytes, not entire UE BSR or multi-frame backlog. D_u is remaining network-deadline time at the intended UL service opportunity; use consistent time units for D_u and delta. R_hat_u is estimated transport-block capacity in bytes per PRB for the applicable symbols. Keyframe phase and multi-frame summaries remain available for demand tracking/logging but are not additional factors in this initial score.</w:t>
      </w:r>
    </w:p>
    <w:p>
      <w:r>
        <w:t>R53  Capacity estimate. Reuse OAI TBS computation with a valid reference PRB count N_ref and applicable modulation, coding, layers, PUSCH symbols and overhead: R_hat_u = TBS_bytes(N_ref) / N_ref. Document reference-count selection, target context, measurement age and validity. Export sufficient local information to EdgeRIC; current telemetry availability must be verified. This is quantized average capacity, not exact linear marginal capacity or successful unique payload. Do not substitute a hypothetical PF TBS lookup for the applicable allocation without validation. Later link adaptation/power/symbol changes may change actual capacity; compare predicted capacity with realized TBS/PRBs.</w:t>
      </w:r>
    </w:p>
    <w:p>
      <w:r>
        <w:t>R54  Non-MEC coexistence. Omit non-MEC UEs from the UL weight map; omission must resolve through messaging/getters/wrappers to unweighted scheduling, not zero or an obsolete weight. Keep their ordinary PF ordering and grant sizing; do not assign application deadlines. MEC weights normalize only across participating eligible MEC UEs with usable scores. No PF reference planning pass, reserved MEC group budget or normalized-PF weight substitute is adopted. Mixed traffic can consume resources before weighted MEC candidates; PF group-share preservation is not claimed.</w:t>
      </w:r>
    </w:p>
    <w:p>
      <w:r>
        <w:t>R55  Demand and continued eligibility. Use R38–R45 accounting. Actual size replaces predictions without losing service history; confirmed completion advances the oldest-frame selection. Deadline expiry clamps urgency using delta but does not remove demand or exclude a UE solely for expiry. Estimated zero is not confirmed reception completion; reconcile against feedback/backlog and use documented fallback where necessary. R36 requires continued eligibility, not a guaranteed grant each slot.</w:t>
      </w:r>
    </w:p>
    <w:p>
      <w:pPr>
        <w:pStyle w:val="Heading1"/>
        <w:pageBreakBefore/>
      </w:pPr>
      <w:r>
        <w:t>14 Heuristic acceptance and evidence</w:t>
      </w:r>
    </w:p>
    <w:p>
      <w:r>
        <w:t>R56  Cap and feasibility semantics. Do not raise weight-derived caps to the minimum valid grant. A zero or positive weight producing an undersized cap can yield no new-data grant. Preserve OAI minimum-grant checks, transform-precoding valid sizes, power/MCS constraints, control resources, HARQ retransmissions, SR/inactivity handling and resource masks. Actual allocations remain within remaining physical budgets; weighted caps cannot authorize infeasible grants. No new minimum-service mechanism or unused-quota redistribution is adopted. Detect/log undersized-cap skips. Persistent deprivation due to cap rounding or contention is a measured limitation, not grounds to silently add a grant floor.</w:t>
      </w:r>
    </w:p>
    <w:p>
      <w:r>
        <w:t>R57  Runtime and logging. Meet R47–R50: slot-k computation for slot-k+1 nonblocking consumption, target identity, late-output rejection and established fallback. Log frame identity, F_u, B_u, D_u, R_hat_u and its context, score, normalized weight, cap reference budget, resulting cap, realized grant and fallback/skip reason. Retain configuration/heuristic versions and asynchronous logging. Measure utilization, per-UE service, overdue demand and deadline outcomes for both traffic groups as applicable.</w:t>
      </w:r>
    </w:p>
    <w:p>
      <w:r>
        <w:t>R58  Acceptance scope. Required controlled checks HC01–HC09 below validate score arithmetic, interface behavior and enforcement. Continue AC01–AC05 demand-state replay validation. SLO improvement, non-MEC throughput impact, utilization and starvation behavior are experimental results; correct implementation does not establish improvement or service guarantees. No controlled test of a UE switching between MEC participation and ordinary traffic is required for the initial experiments.</w:t>
      </w:r>
    </w:p>
    <w:p>
      <w:r>
        <w:rPr>
          <w:b/>
        </w:rPr>
        <w:t xml:space="preserve">HC01 Symmetry  </w:t>
      </w:r>
      <w:r>
        <w:t>Equal usable inputs yield equal scores/weights.</w:t>
      </w:r>
    </w:p>
    <w:p>
      <w:r>
        <w:rPr>
          <w:b/>
        </w:rPr>
        <w:t xml:space="preserve">HC02 Radio capability  </w:t>
      </w:r>
      <w:r>
        <w:t>Increasing R_hat_u with other inputs fixed increases score and, with competing positive scores, normalized weight.</w:t>
      </w:r>
    </w:p>
    <w:p>
      <w:r>
        <w:rPr>
          <w:b/>
        </w:rPr>
        <w:t xml:space="preserve">HC03 Completion progress  </w:t>
      </w:r>
      <w:r>
        <w:t>Reducing B_u with F_u and other inputs fixed increases score until B_min is reached; normalized weight follows when positive competing scores exist.</w:t>
      </w:r>
    </w:p>
    <w:p>
      <w:r>
        <w:rPr>
          <w:b/>
        </w:rPr>
        <w:t xml:space="preserve">HC04 Deadline urgency  </w:t>
      </w:r>
      <w:r>
        <w:t>Reducing D_u increases score until delta is reached; urgency remains finite through and after expiry. Overdue demand remains eligible subject to valid caps and OAI feasibility.</w:t>
      </w:r>
    </w:p>
    <w:p>
      <w:r>
        <w:rPr>
          <w:b/>
        </w:rPr>
        <w:t xml:space="preserve">HC05 Reconciliation  </w:t>
      </w:r>
      <w:r>
        <w:t>Duplicate metadata/reception updates do not add demand or service credit twice. Completion advances to the next oldest frame.</w:t>
      </w:r>
    </w:p>
    <w:p>
      <w:r>
        <w:rPr>
          <w:b/>
        </w:rPr>
        <w:t xml:space="preserve">HC06 Failure and timing  </w:t>
      </w:r>
      <w:r>
        <w:t>Missing/unusable state, late actions and disconnected EdgeRIC invoke documented fallback without blocking OAI or applying stale actions to another target.</w:t>
      </w:r>
    </w:p>
    <w:p>
      <w:r>
        <w:rPr>
          <w:b/>
        </w:rPr>
        <w:t xml:space="preserve">HC07 Mixed load  </w:t>
      </w:r>
      <w:r>
        <w:t>Only participating MEC UEs receive utility caps. Non-MEC omission selects ordinary PF behavior. Record both groups’ realized service and unused resources; do not assert preserved PF group shares.</w:t>
      </w:r>
    </w:p>
    <w:p>
      <w:r>
        <w:rPr>
          <w:b/>
        </w:rPr>
        <w:t xml:space="preserve">HC08 Undersized caps  </w:t>
      </w:r>
      <w:r>
        <w:t>Exercise zero, rounded-to-zero and positive below-minimum caps. Skip invalid new-data grants without raising the cap; log the reason. Confirm ordinary minimum checks and physical budget enforcement.</w:t>
      </w:r>
    </w:p>
    <w:p>
      <w:r>
        <w:rPr>
          <w:b/>
        </w:rPr>
        <w:t xml:space="preserve">HC09 Capacity and integration  </w:t>
      </w:r>
      <w:r>
        <w:t>Compare capacity estimates with OAI TBS calculations for representative MCS/symbol/layer/valid-PRB combinations. Verify weight-to-cap conversion and actual grants without bypassing OAI constraints.</w:t>
      </w:r>
    </w:p>
    <w:p>
      <w:r>
        <w:t>ARMA reference: Yi et al., MobiSys 2025, Section 6.2, Algorithm 1 and Equation 9 (source in Section 9). The utility factor structure is adapted; direct normalization, OAI cap enforcement and the stated coexistence behavior define this baseline.</w:t>
      </w:r>
    </w:p>
    <w:p>
      <w:pPr>
        <w:pStyle w:val="Heading1"/>
        <w:pageBreakBefore/>
      </w:pPr>
      <w:r>
        <w:t>15 MEC RL inference hosted in EdgeRIC</w:t>
      </w:r>
    </w:p>
    <w:p>
      <w:pPr>
        <w:spacing w:after="60" w:before="0" w:line="240" w:lineRule="auto"/>
      </w:pPr>
      <w:r>
        <w:rPr>
          <w:b/>
          <w:sz w:val="20"/>
        </w:rPr>
        <w:t xml:space="preserve">R59 Independent agents  </w:t>
      </w:r>
      <w:r>
        <w:rPr>
          <w:sz w:val="20"/>
        </w:rPr>
        <w:t>Host a separate MEC application RL agent in EdgeRIC as specified in R05–R08. Keep RAN/MEC models, versions, inputs, outputs and execution queues separate. MEC inference must not block the slot-level RAN path. Application lifecycle, DNN execution, admission enforcement and UE configuration delivery remain at MEC; EdgeRIC returns proposals only. [M78–M79]</w:t>
      </w:r>
    </w:p>
    <w:p>
      <w:pPr>
        <w:spacing w:after="60" w:before="0" w:line="240" w:lineRule="auto"/>
      </w:pPr>
      <w:r>
        <w:rPr>
          <w:b/>
          <w:sz w:val="20"/>
        </w:rPr>
        <w:t xml:space="preserve">R60 Application timing  </w:t>
      </w:r>
      <w:r>
        <w:rPr>
          <w:sz w:val="20"/>
        </w:rPr>
        <w:t>MEC initiates application-policy decisions at the established GoP scheduling events, not radio slots. Identify the relevant UE set, snapshot and intended activation boundaries. Per-frame CUDA priority remains a separate interface; whether it uses RL or a third agent remains undecided. [D69–D75]</w:t>
      </w:r>
    </w:p>
    <w:p>
      <w:pPr>
        <w:spacing w:after="60" w:before="0" w:line="240" w:lineRule="auto"/>
      </w:pPr>
      <w:r>
        <w:rPr>
          <w:b/>
          <w:sz w:val="20"/>
        </w:rPr>
        <w:t xml:space="preserve">R61 Request and proposal contract  </w:t>
      </w:r>
      <w:r>
        <w:rPr>
          <w:sz w:val="20"/>
        </w:rPr>
        <w:t>MEC supplies a consistent application-state snapshot identifying UEs by ue_id. Exclude RNTIs and transport/association attributes from policy inputs. EdgeRIC returns bitrate/DNN configuration proposals correlated with the request and snapshot. Preserve shared schema/catalog/version compatibility. Exact RL features, reward, learning algorithm and training choices remain deferred.</w:t>
      </w:r>
    </w:p>
    <w:p>
      <w:pPr>
        <w:spacing w:after="60" w:before="0" w:line="240" w:lineRule="auto"/>
      </w:pPr>
      <w:r>
        <w:rPr>
          <w:b/>
          <w:sz w:val="20"/>
        </w:rPr>
        <w:t xml:space="preserve">R62 MEC validation authority  </w:t>
      </w:r>
      <w:r>
        <w:rPr>
          <w:sz w:val="20"/>
        </w:rPr>
        <w:t>MEC validates catalog membership, application compatibility, shared budgets, current session/configuration state and activation timing. Individually valid UE choices must pass joint validation. EdgeRIC cannot directly command UE encoders or execute application actions. Preserve the same validators and enforcement for heuristic and RL modes. [M43, M67; D69–D75]</w:t>
      </w:r>
    </w:p>
    <w:p>
      <w:pPr>
        <w:spacing w:after="60" w:before="0" w:line="240" w:lineRule="auto"/>
      </w:pPr>
      <w:r>
        <w:rPr>
          <w:b/>
          <w:sz w:val="20"/>
        </w:rPr>
        <w:t xml:space="preserve">R63 Failure and single resolution  </w:t>
      </w:r>
      <w:r>
        <w:rPr>
          <w:sz w:val="20"/>
        </w:rPr>
        <w:t>Missing, malformed, incompatible, obsolete or late responses invoke the established local validated MEC heuristic fallback. Resolve each decision once; duplicate or later responses cannot override the selected result or apply to another session/decision. Count fallback as an observed policy outcome.</w:t>
      </w:r>
    </w:p>
    <w:p>
      <w:pPr>
        <w:spacing w:after="60" w:before="0" w:line="240" w:lineRule="auto"/>
      </w:pPr>
      <w:r>
        <w:rPr>
          <w:b/>
          <w:sz w:val="20"/>
        </w:rPr>
        <w:t xml:space="preserve">R64 Activation  </w:t>
      </w:r>
      <w:r>
        <w:rPr>
          <w:sz w:val="20"/>
        </w:rPr>
        <w:t>Accepted proposals use established future GoP activation. Requested configurations do not become applied until established evidence confirms application; retain older frames’ original configuration identity. Preserve late/unready-command handling and do not add a readiness/commit exchange. [R24; M10, M63, M70]</w:t>
      </w:r>
    </w:p>
    <w:p>
      <w:pPr>
        <w:spacing w:after="60" w:before="0" w:line="240" w:lineRule="auto"/>
      </w:pPr>
      <w:r>
        <w:rPr>
          <w:b/>
          <w:sz w:val="20"/>
        </w:rPr>
        <w:t xml:space="preserve">R65 Compatibility and recovery  </w:t>
      </w:r>
      <w:r>
        <w:rPr>
          <w:sz w:val="20"/>
        </w:rPr>
        <w:t>Incompatible model/schema/catalog versions prevent RL use and invoke fallback. Reject obsolete replies after reconnect/restart; resume inference from valid current snapshots. Select policy mode at run startup; fault fallback is not live policy-mode switching. [R07–R08]</w:t>
      </w:r>
    </w:p>
    <w:p>
      <w:pPr>
        <w:spacing w:after="60" w:before="0" w:line="240" w:lineRule="auto"/>
      </w:pPr>
      <w:r>
        <w:rPr>
          <w:b/>
          <w:sz w:val="20"/>
        </w:rPr>
        <w:t xml:space="preserve">R66 Overhead and isolation evidence  </w:t>
      </w:r>
      <w:r>
        <w:rPr>
          <w:sz w:val="20"/>
        </w:rPr>
        <w:t>Measure serialization, queueing, transfer, inference, validation and fallback time, including full request round trip. Verify decisions resolve before activation cutoffs and measure RAN deadline misses under concurrent MEC inference. Establish documented timing acceptance limits through profiling before enabling the mode; do not assume isolation from process layout alone. Profile remote per-frame CUDA round trips separately if adopted. [R03, R08, R50]</w:t>
      </w:r>
    </w:p>
    <w:p>
      <w:pPr>
        <w:spacing w:after="60" w:before="0" w:line="240" w:lineRule="auto"/>
      </w:pPr>
      <w:r>
        <w:rPr>
          <w:b/>
          <w:sz w:val="20"/>
        </w:rPr>
        <w:t xml:space="preserve">R67 Experiment evidence  </w:t>
      </w:r>
      <w:r>
        <w:rPr>
          <w:sz w:val="20"/>
        </w:rPr>
        <w:t>Correlate request, snapshot, model version, proposal, validation result, selected action, fallback and actual activation. Compare heuristic/RL application policies with the same catalogs, budgets and enforcement. Keep mutual-awareness exchange active in all modes. Required tests below exercise correctness and failure handling, not reward quality. [R09, R28–R29]</w:t>
      </w:r>
    </w:p>
    <w:p>
      <w:pPr>
        <w:pStyle w:val="Heading2"/>
      </w:pPr>
      <w:r>
        <w:t>Required MEC policy acceptance tests</w:t>
      </w:r>
    </w:p>
    <w:p>
      <w:pPr>
        <w:spacing w:after="60" w:before="0" w:line="240" w:lineRule="auto"/>
      </w:pPr>
      <w:r>
        <w:rPr>
          <w:b/>
          <w:sz w:val="20"/>
        </w:rPr>
        <w:t xml:space="preserve">MC01 Valid proposal  </w:t>
      </w:r>
      <w:r>
        <w:rPr>
          <w:sz w:val="20"/>
        </w:rPr>
        <w:t>A compatible timely proposal passes MEC validation and follows existing activation behavior.</w:t>
      </w:r>
    </w:p>
    <w:p>
      <w:pPr>
        <w:spacing w:after="60" w:before="0" w:line="240" w:lineRule="auto"/>
      </w:pPr>
      <w:r>
        <w:rPr>
          <w:b/>
          <w:sz w:val="20"/>
        </w:rPr>
        <w:t xml:space="preserve">MC02 Joint infeasibility  </w:t>
      </w:r>
      <w:r>
        <w:rPr>
          <w:sz w:val="20"/>
        </w:rPr>
        <w:t>A set of individually valid choices exceeding shared constraints is rejected and follows validated fallback.</w:t>
      </w:r>
    </w:p>
    <w:p>
      <w:pPr>
        <w:spacing w:after="60" w:before="0" w:line="240" w:lineRule="auto"/>
      </w:pPr>
      <w:r>
        <w:rPr>
          <w:b/>
          <w:sz w:val="20"/>
        </w:rPr>
        <w:t xml:space="preserve">MC03 Late and duplicate replies  </w:t>
      </w:r>
      <w:r>
        <w:rPr>
          <w:sz w:val="20"/>
        </w:rPr>
        <w:t>Late/duplicate replies cannot replace an already resolved decision or activate stale settings.</w:t>
      </w:r>
    </w:p>
    <w:p>
      <w:pPr>
        <w:spacing w:after="60" w:before="0" w:line="240" w:lineRule="auto"/>
      </w:pPr>
      <w:r>
        <w:rPr>
          <w:b/>
          <w:sz w:val="20"/>
        </w:rPr>
        <w:t xml:space="preserve">MC04 Session changes  </w:t>
      </w:r>
      <w:r>
        <w:rPr>
          <w:sz w:val="20"/>
        </w:rPr>
        <w:t>An outstanding response for an obsolete session cannot affect the current one.</w:t>
      </w:r>
    </w:p>
    <w:p>
      <w:pPr>
        <w:spacing w:after="60" w:before="0" w:line="240" w:lineRule="auto"/>
      </w:pPr>
      <w:r>
        <w:rPr>
          <w:b/>
          <w:sz w:val="20"/>
        </w:rPr>
        <w:t xml:space="preserve">MC05 Version incompatibility  </w:t>
      </w:r>
      <w:r>
        <w:rPr>
          <w:sz w:val="20"/>
        </w:rPr>
        <w:t>Incompatible model/schema/catalog versions trigger fallback; valid current inference can resume after recovery.</w:t>
      </w:r>
    </w:p>
    <w:p>
      <w:pPr>
        <w:spacing w:after="60" w:before="0" w:line="240" w:lineRule="auto"/>
      </w:pPr>
      <w:r>
        <w:rPr>
          <w:b/>
          <w:sz w:val="20"/>
        </w:rPr>
        <w:t xml:space="preserve">MC06 Concurrent load  </w:t>
      </w:r>
      <w:r>
        <w:rPr>
          <w:sz w:val="20"/>
        </w:rPr>
        <w:t>Under supported concurrent RAN/MEC inference load, measure full decision latency, application cutoffs and RAN deadline misses against documented acceptance limits.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OAI and EdgeRIC architecture v1.5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OAI and EdgeRIC architecture</dc:title>
  <dc:subject>RAN and MEC integration decision record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