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Constraints are things that the products must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include, conform to or be designed around.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should be noted that constraints are not necessarily negative; they are just things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(usually components or systems) that the product must conform to.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constraints in this system are formed from the requirements of the project. The following is a list of constraints that the system should adhere to: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RMI functionality to meet a distributed environment constraint.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implement two types of databases (Relational and Non-Relational)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accommodate unlimited number of clients.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using Java as the development language.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