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Limitations: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System specific:</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system limits the functionality only to the companies that are already registered with the TMS. To compute the vehicle count and price number of employees is required and it is available only for the companies which are registered with TMS. The system limits vehicle types only to be bus, cab and motorcycle. A specific constraint exists when the vehicle type is motorcycle. Transportation cannot be possible in motorcycle if the climate is not favorable. The system accuracy is limited by the consistency between the relational and non-relational databases. A coordination of changes must be made between the two in order to provide the best and most accurate results.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Hardware: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hardware limitations of this is system is the same limitation that are applicable to the Java Virtual Machine. The system should be able to run on any hardware that has a java runtime environment installed on 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