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2F5496"/>
          <w:sz w:val="32"/>
        </w:rPr>
        <w:t>Bright Smile Dental — QA Audit Report</w:t>
      </w:r>
    </w:p>
    <w:p>
      <w:pPr>
        <w:spacing w:after="40"/>
      </w:pPr>
      <w:r>
        <w:rPr>
          <w:rFonts w:ascii="Calibri" w:hAnsi="Calibri"/>
          <w:b/>
          <w:sz w:val="22"/>
        </w:rPr>
        <w:t xml:space="preserve">Prepared by: </w:t>
      </w:r>
      <w:r>
        <w:rPr>
          <w:rFonts w:ascii="Calibri" w:hAnsi="Calibri"/>
          <w:sz w:val="22"/>
        </w:rPr>
        <w:t>Inspra AI</w:t>
      </w:r>
    </w:p>
    <w:p>
      <w:pPr>
        <w:spacing w:after="40"/>
      </w:pPr>
      <w:r>
        <w:rPr>
          <w:rFonts w:ascii="Calibri" w:hAnsi="Calibri"/>
          <w:b/>
          <w:sz w:val="22"/>
        </w:rPr>
        <w:t xml:space="preserve">Period: </w:t>
      </w:r>
      <w:r>
        <w:rPr>
          <w:rFonts w:ascii="Calibri" w:hAnsi="Calibri"/>
          <w:sz w:val="22"/>
        </w:rPr>
        <w:t>1 February 2026 — 28 February 2026</w:t>
      </w:r>
    </w:p>
    <w:p>
      <w:pPr>
        <w:spacing w:after="40"/>
      </w:pPr>
      <w:r>
        <w:rPr>
          <w:rFonts w:ascii="Calibri" w:hAnsi="Calibri"/>
          <w:b/>
          <w:sz w:val="22"/>
        </w:rPr>
        <w:t xml:space="preserve">Agent: </w:t>
      </w:r>
      <w:r>
        <w:rPr>
          <w:rFonts w:ascii="Calibri" w:hAnsi="Calibri"/>
          <w:sz w:val="22"/>
        </w:rPr>
        <w:t>Bright Smile Dental AI Receptionist</w:t>
      </w:r>
    </w:p>
    <w:p>
      <w:pPr>
        <w:spacing w:after="40"/>
      </w:pPr>
      <w:r>
        <w:rPr>
          <w:rFonts w:ascii="Calibri" w:hAnsi="Calibri"/>
          <w:b/>
          <w:sz w:val="22"/>
        </w:rPr>
        <w:t xml:space="preserve">Calls Audited: </w:t>
      </w:r>
      <w:r>
        <w:rPr>
          <w:rFonts w:ascii="Calibri" w:hAnsi="Calibri"/>
          <w:sz w:val="22"/>
        </w:rPr>
        <w:t>10 of 10</w:t>
      </w:r>
    </w:p>
    <w:p/>
    <w:p>
      <w:pPr>
        <w:pStyle w:val="Heading2"/>
      </w:pPr>
      <w:r>
        <w:rPr>
          <w:b/>
          <w:sz w:val="26"/>
        </w:rPr>
        <w:t>Summary Score</w:t>
      </w:r>
    </w:p>
    <w:p>
      <w:pPr>
        <w:jc w:val="center"/>
        <w:shd w:val="clear" w:color="auto" w:fill="D9E2F3"/>
      </w:pPr>
      <w:r>
        <w:rPr>
          <w:b/>
          <w:color w:val="2F5496"/>
          <w:sz w:val="40"/>
        </w:rPr>
        <w:t>95.1 / 100</w:t>
      </w:r>
    </w:p>
    <w:p>
      <w:pPr>
        <w:jc w:val="center"/>
      </w:pPr>
      <w:r>
        <w:rPr>
          <w:rFonts w:ascii="Calibri" w:hAnsi="Calibri"/>
          <w:i/>
          <w:sz w:val="22"/>
        </w:rPr>
        <w:t>Excellent — The agent is performing at a high standard across all quality dimensions.</w:t>
      </w:r>
    </w:p>
    <w:p>
      <w:pPr>
        <w:pStyle w:val="Heading2"/>
      </w:pPr>
      <w:r>
        <w:rPr>
          <w:b/>
          <w:sz w:val="26"/>
        </w:rPr>
        <w:t>Score Breakdown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2F5496"/>
          </w:tcPr>
          <w:p>
            <w:pPr>
              <w:jc w:val="center"/>
            </w:pPr>
            <w:r>
              <w:rPr>
                <w:b/>
                <w:color w:val="FFFFFF"/>
                <w:sz w:val="20"/>
              </w:rPr>
              <w:t>Dimension</w:t>
            </w:r>
          </w:p>
        </w:tc>
        <w:tc>
          <w:tcPr>
            <w:tcW w:type="dxa" w:w="2340"/>
            <w:shd w:val="clear" w:color="auto" w:fill="2F5496"/>
          </w:tcPr>
          <w:p>
            <w:pPr>
              <w:jc w:val="center"/>
            </w:pPr>
            <w:r>
              <w:rPr>
                <w:b/>
                <w:color w:val="FFFFFF"/>
                <w:sz w:val="20"/>
              </w:rPr>
              <w:t>Avg Score (out of 5)</w:t>
            </w:r>
          </w:p>
        </w:tc>
        <w:tc>
          <w:tcPr>
            <w:tcW w:type="dxa" w:w="2340"/>
            <w:shd w:val="clear" w:color="auto" w:fill="2F5496"/>
          </w:tcPr>
          <w:p>
            <w:pPr>
              <w:jc w:val="center"/>
            </w:pPr>
            <w:r>
              <w:rPr>
                <w:b/>
                <w:color w:val="FFFFFF"/>
                <w:sz w:val="20"/>
              </w:rPr>
              <w:t>Weight</w:t>
            </w:r>
          </w:p>
        </w:tc>
        <w:tc>
          <w:tcPr>
            <w:tcW w:type="dxa" w:w="2340"/>
            <w:shd w:val="clear" w:color="auto" w:fill="2F5496"/>
          </w:tcPr>
          <w:p>
            <w:pPr>
              <w:jc w:val="center"/>
            </w:pPr>
            <w:r>
              <w:rPr>
                <w:b/>
                <w:color w:val="FFFFFF"/>
                <w:sz w:val="20"/>
              </w:rPr>
              <w:t>Weighted Contribution</w:t>
            </w:r>
          </w:p>
        </w:tc>
      </w:tr>
      <w:tr>
        <w:tc>
          <w:tcPr>
            <w:tcW w:type="dxa" w:w="2340"/>
          </w:tcPr>
          <w:p>
            <w:r>
              <w:t>Greeting &amp; ID</w:t>
            </w:r>
          </w:p>
        </w:tc>
        <w:tc>
          <w:tcPr>
            <w:tcW w:type="dxa" w:w="2340"/>
          </w:tcPr>
          <w:p>
            <w:r>
              <w:t>4.9</w:t>
            </w:r>
          </w:p>
        </w:tc>
        <w:tc>
          <w:tcPr>
            <w:tcW w:type="dxa" w:w="2340"/>
          </w:tcPr>
          <w:p>
            <w:r>
              <w:t>10%</w:t>
            </w:r>
          </w:p>
        </w:tc>
        <w:tc>
          <w:tcPr>
            <w:tcW w:type="dxa" w:w="2340"/>
          </w:tcPr>
          <w:p>
            <w:r>
              <w:t>9.8</w:t>
            </w:r>
          </w:p>
        </w:tc>
      </w:tr>
      <w:tr>
        <w:tc>
          <w:tcPr>
            <w:tcW w:type="dxa" w:w="2340"/>
          </w:tcPr>
          <w:p>
            <w:r>
              <w:t>Listening</w:t>
            </w:r>
          </w:p>
        </w:tc>
        <w:tc>
          <w:tcPr>
            <w:tcW w:type="dxa" w:w="2340"/>
          </w:tcPr>
          <w:p>
            <w:r>
              <w:t>4.5</w:t>
            </w:r>
          </w:p>
        </w:tc>
        <w:tc>
          <w:tcPr>
            <w:tcW w:type="dxa" w:w="2340"/>
          </w:tcPr>
          <w:p>
            <w:r>
              <w:t>15%</w:t>
            </w:r>
          </w:p>
        </w:tc>
        <w:tc>
          <w:tcPr>
            <w:tcW w:type="dxa" w:w="2340"/>
          </w:tcPr>
          <w:p>
            <w:r>
              <w:t>13.5</w:t>
            </w:r>
          </w:p>
        </w:tc>
      </w:tr>
      <w:tr>
        <w:tc>
          <w:tcPr>
            <w:tcW w:type="dxa" w:w="2340"/>
          </w:tcPr>
          <w:p>
            <w:r>
              <w:t>Accuracy</w:t>
            </w:r>
          </w:p>
        </w:tc>
        <w:tc>
          <w:tcPr>
            <w:tcW w:type="dxa" w:w="2340"/>
          </w:tcPr>
          <w:p>
            <w:r>
              <w:t>4.8</w:t>
            </w:r>
          </w:p>
        </w:tc>
        <w:tc>
          <w:tcPr>
            <w:tcW w:type="dxa" w:w="2340"/>
          </w:tcPr>
          <w:p>
            <w:r>
              <w:t>20%</w:t>
            </w:r>
          </w:p>
        </w:tc>
        <w:tc>
          <w:tcPr>
            <w:tcW w:type="dxa" w:w="2340"/>
          </w:tcPr>
          <w:p>
            <w:r>
              <w:t>19.2</w:t>
            </w:r>
          </w:p>
        </w:tc>
      </w:tr>
      <w:tr>
        <w:tc>
          <w:tcPr>
            <w:tcW w:type="dxa" w:w="2340"/>
          </w:tcPr>
          <w:p>
            <w:r>
              <w:t>Tone &amp; Empathy</w:t>
            </w:r>
          </w:p>
        </w:tc>
        <w:tc>
          <w:tcPr>
            <w:tcW w:type="dxa" w:w="2340"/>
          </w:tcPr>
          <w:p>
            <w:r>
              <w:t>4.8</w:t>
            </w:r>
          </w:p>
        </w:tc>
        <w:tc>
          <w:tcPr>
            <w:tcW w:type="dxa" w:w="2340"/>
          </w:tcPr>
          <w:p>
            <w:r>
              <w:t>15%</w:t>
            </w:r>
          </w:p>
        </w:tc>
        <w:tc>
          <w:tcPr>
            <w:tcW w:type="dxa" w:w="2340"/>
          </w:tcPr>
          <w:p>
            <w:r>
              <w:t>14.4</w:t>
            </w:r>
          </w:p>
        </w:tc>
      </w:tr>
      <w:tr>
        <w:tc>
          <w:tcPr>
            <w:tcW w:type="dxa" w:w="2340"/>
          </w:tcPr>
          <w:p>
            <w:r>
              <w:t>Flow &amp; Efficiency</w:t>
            </w:r>
          </w:p>
        </w:tc>
        <w:tc>
          <w:tcPr>
            <w:tcW w:type="dxa" w:w="2340"/>
          </w:tcPr>
          <w:p>
            <w:r>
              <w:t>4.7</w:t>
            </w:r>
          </w:p>
        </w:tc>
        <w:tc>
          <w:tcPr>
            <w:tcW w:type="dxa" w:w="2340"/>
          </w:tcPr>
          <w:p>
            <w:r>
              <w:t>15%</w:t>
            </w:r>
          </w:p>
        </w:tc>
        <w:tc>
          <w:tcPr>
            <w:tcW w:type="dxa" w:w="2340"/>
          </w:tcPr>
          <w:p>
            <w:r>
              <w:t>14.1</w:t>
            </w:r>
          </w:p>
        </w:tc>
      </w:tr>
      <w:tr>
        <w:tc>
          <w:tcPr>
            <w:tcW w:type="dxa" w:w="2340"/>
          </w:tcPr>
          <w:p>
            <w:r>
              <w:t>Compliance</w:t>
            </w:r>
          </w:p>
        </w:tc>
        <w:tc>
          <w:tcPr>
            <w:tcW w:type="dxa" w:w="2340"/>
          </w:tcPr>
          <w:p>
            <w:r>
              <w:t>5.0</w:t>
            </w:r>
          </w:p>
        </w:tc>
        <w:tc>
          <w:tcPr>
            <w:tcW w:type="dxa" w:w="2340"/>
          </w:tcPr>
          <w:p>
            <w:r>
              <w:t>10%</w:t>
            </w:r>
          </w:p>
        </w:tc>
        <w:tc>
          <w:tcPr>
            <w:tcW w:type="dxa" w:w="2340"/>
          </w:tcPr>
          <w:p>
            <w:r>
              <w:t>10.0</w:t>
            </w:r>
          </w:p>
        </w:tc>
      </w:tr>
      <w:tr>
        <w:tc>
          <w:tcPr>
            <w:tcW w:type="dxa" w:w="2340"/>
          </w:tcPr>
          <w:p>
            <w:r>
              <w:t>Resolution</w:t>
            </w:r>
          </w:p>
        </w:tc>
        <w:tc>
          <w:tcPr>
            <w:tcW w:type="dxa" w:w="2340"/>
          </w:tcPr>
          <w:p>
            <w:r>
              <w:t>4.7</w:t>
            </w:r>
          </w:p>
        </w:tc>
        <w:tc>
          <w:tcPr>
            <w:tcW w:type="dxa" w:w="2340"/>
          </w:tcPr>
          <w:p>
            <w:r>
              <w:t>15%</w:t>
            </w:r>
          </w:p>
        </w:tc>
        <w:tc>
          <w:tcPr>
            <w:tcW w:type="dxa" w:w="2340"/>
          </w:tcPr>
          <w:p>
            <w:r>
              <w:t>14.1</w:t>
            </w:r>
          </w:p>
        </w:tc>
      </w:tr>
      <w:tr>
        <w:tc>
          <w:tcPr>
            <w:tcW w:type="dxa" w:w="2340"/>
          </w:tcPr>
          <w:p>
            <w:r>
              <w:rPr>
                <w:b/>
              </w:rPr>
              <w:t>TOTAL</w:t>
            </w:r>
          </w:p>
        </w:tc>
        <w:tc>
          <w:tcPr>
            <w:tcW w:type="dxa" w:w="2340"/>
          </w:tcPr>
          <w:p>
            <w:r>
              <w:rPr>
                <w:b/>
              </w:rPr>
            </w:r>
          </w:p>
        </w:tc>
        <w:tc>
          <w:tcPr>
            <w:tcW w:type="dxa" w:w="2340"/>
          </w:tcPr>
          <w:p>
            <w:r>
              <w:rPr>
                <w:b/>
              </w:rPr>
              <w:t>100%</w:t>
            </w:r>
          </w:p>
        </w:tc>
        <w:tc>
          <w:tcPr>
            <w:tcW w:type="dxa" w:w="2340"/>
          </w:tcPr>
          <w:p>
            <w:r>
              <w:rPr>
                <w:b/>
              </w:rPr>
              <w:t>95.1</w:t>
            </w:r>
          </w:p>
        </w:tc>
      </w:tr>
    </w:tbl>
    <w:p>
      <w:pPr>
        <w:pStyle w:val="Heading2"/>
      </w:pPr>
      <w:r>
        <w:rPr>
          <w:b/>
          <w:sz w:val="26"/>
        </w:rPr>
        <w:t>Individual Call Scores</w:t>
      </w:r>
    </w:p>
    <w:tbl>
      <w:tblPr>
        <w:tblStyle w:val="TableGrid"/>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val="clear" w:color="auto" w:fill="2F5496"/>
          </w:tcPr>
          <w:p>
            <w:pPr>
              <w:jc w:val="center"/>
            </w:pPr>
            <w:r>
              <w:rPr>
                <w:b/>
                <w:color w:val="FFFFFF"/>
                <w:sz w:val="20"/>
              </w:rPr>
              <w:t>Call</w:t>
            </w:r>
          </w:p>
        </w:tc>
        <w:tc>
          <w:tcPr>
            <w:tcW w:type="dxa" w:w="936"/>
            <w:shd w:val="clear" w:color="auto" w:fill="2F5496"/>
          </w:tcPr>
          <w:p>
            <w:pPr>
              <w:jc w:val="center"/>
            </w:pPr>
            <w:r>
              <w:rPr>
                <w:b/>
                <w:color w:val="FFFFFF"/>
                <w:sz w:val="20"/>
              </w:rPr>
              <w:t>Greet</w:t>
            </w:r>
          </w:p>
        </w:tc>
        <w:tc>
          <w:tcPr>
            <w:tcW w:type="dxa" w:w="936"/>
            <w:shd w:val="clear" w:color="auto" w:fill="2F5496"/>
          </w:tcPr>
          <w:p>
            <w:pPr>
              <w:jc w:val="center"/>
            </w:pPr>
            <w:r>
              <w:rPr>
                <w:b/>
                <w:color w:val="FFFFFF"/>
                <w:sz w:val="20"/>
              </w:rPr>
              <w:t>Listen</w:t>
            </w:r>
          </w:p>
        </w:tc>
        <w:tc>
          <w:tcPr>
            <w:tcW w:type="dxa" w:w="936"/>
            <w:shd w:val="clear" w:color="auto" w:fill="2F5496"/>
          </w:tcPr>
          <w:p>
            <w:pPr>
              <w:jc w:val="center"/>
            </w:pPr>
            <w:r>
              <w:rPr>
                <w:b/>
                <w:color w:val="FFFFFF"/>
                <w:sz w:val="20"/>
              </w:rPr>
              <w:t>Accur</w:t>
            </w:r>
          </w:p>
        </w:tc>
        <w:tc>
          <w:tcPr>
            <w:tcW w:type="dxa" w:w="936"/>
            <w:shd w:val="clear" w:color="auto" w:fill="2F5496"/>
          </w:tcPr>
          <w:p>
            <w:pPr>
              <w:jc w:val="center"/>
            </w:pPr>
            <w:r>
              <w:rPr>
                <w:b/>
                <w:color w:val="FFFFFF"/>
                <w:sz w:val="20"/>
              </w:rPr>
              <w:t>Tone</w:t>
            </w:r>
          </w:p>
        </w:tc>
        <w:tc>
          <w:tcPr>
            <w:tcW w:type="dxa" w:w="936"/>
            <w:shd w:val="clear" w:color="auto" w:fill="2F5496"/>
          </w:tcPr>
          <w:p>
            <w:pPr>
              <w:jc w:val="center"/>
            </w:pPr>
            <w:r>
              <w:rPr>
                <w:b/>
                <w:color w:val="FFFFFF"/>
                <w:sz w:val="20"/>
              </w:rPr>
              <w:t>Flow</w:t>
            </w:r>
          </w:p>
        </w:tc>
        <w:tc>
          <w:tcPr>
            <w:tcW w:type="dxa" w:w="936"/>
            <w:shd w:val="clear" w:color="auto" w:fill="2F5496"/>
          </w:tcPr>
          <w:p>
            <w:pPr>
              <w:jc w:val="center"/>
            </w:pPr>
            <w:r>
              <w:rPr>
                <w:b/>
                <w:color w:val="FFFFFF"/>
                <w:sz w:val="20"/>
              </w:rPr>
              <w:t>Compl</w:t>
            </w:r>
          </w:p>
        </w:tc>
        <w:tc>
          <w:tcPr>
            <w:tcW w:type="dxa" w:w="936"/>
            <w:shd w:val="clear" w:color="auto" w:fill="2F5496"/>
          </w:tcPr>
          <w:p>
            <w:pPr>
              <w:jc w:val="center"/>
            </w:pPr>
            <w:r>
              <w:rPr>
                <w:b/>
                <w:color w:val="FFFFFF"/>
                <w:sz w:val="20"/>
              </w:rPr>
              <w:t>Resol</w:t>
            </w:r>
          </w:p>
        </w:tc>
        <w:tc>
          <w:tcPr>
            <w:tcW w:type="dxa" w:w="936"/>
            <w:shd w:val="clear" w:color="auto" w:fill="2F5496"/>
          </w:tcPr>
          <w:p>
            <w:pPr>
              <w:jc w:val="center"/>
            </w:pPr>
            <w:r>
              <w:rPr>
                <w:b/>
                <w:color w:val="FFFFFF"/>
                <w:sz w:val="20"/>
              </w:rPr>
              <w:t>Score</w:t>
            </w:r>
          </w:p>
        </w:tc>
        <w:tc>
          <w:tcPr>
            <w:tcW w:type="dxa" w:w="936"/>
            <w:shd w:val="clear" w:color="auto" w:fill="2F5496"/>
          </w:tcPr>
          <w:p>
            <w:pPr>
              <w:jc w:val="center"/>
            </w:pPr>
            <w:r>
              <w:rPr>
                <w:b/>
                <w:color w:val="FFFFFF"/>
                <w:sz w:val="20"/>
              </w:rPr>
              <w:t>Sentiment</w:t>
            </w:r>
          </w:p>
        </w:tc>
      </w:tr>
      <w:tr>
        <w:tc>
          <w:tcPr>
            <w:tcW w:type="dxa" w:w="936"/>
          </w:tcPr>
          <w:p>
            <w:pPr>
              <w:jc w:val="center"/>
            </w:pPr>
            <w:r>
              <w:t>#1</w:t>
            </w:r>
          </w:p>
        </w:tc>
        <w:tc>
          <w:tcPr>
            <w:tcW w:type="dxa" w:w="936"/>
          </w:tcPr>
          <w:p>
            <w:pPr>
              <w:jc w:val="center"/>
            </w:pPr>
            <w:r>
              <w:t>5</w:t>
            </w:r>
          </w:p>
        </w:tc>
        <w:tc>
          <w:tcPr>
            <w:tcW w:type="dxa" w:w="936"/>
          </w:tcPr>
          <w:p>
            <w:pPr>
              <w:jc w:val="center"/>
            </w:pPr>
            <w:r>
              <w:t>4</w:t>
            </w:r>
          </w:p>
        </w:tc>
        <w:tc>
          <w:tcPr>
            <w:tcW w:type="dxa" w:w="936"/>
          </w:tcPr>
          <w:p>
            <w:pPr>
              <w:jc w:val="center"/>
            </w:pPr>
            <w:r>
              <w:t>5</w:t>
            </w:r>
          </w:p>
        </w:tc>
        <w:tc>
          <w:tcPr>
            <w:tcW w:type="dxa" w:w="936"/>
          </w:tcPr>
          <w:p>
            <w:pPr>
              <w:jc w:val="center"/>
            </w:pPr>
            <w:r>
              <w:t>5</w:t>
            </w:r>
          </w:p>
        </w:tc>
        <w:tc>
          <w:tcPr>
            <w:tcW w:type="dxa" w:w="936"/>
          </w:tcPr>
          <w:p>
            <w:pPr>
              <w:jc w:val="center"/>
            </w:pPr>
            <w:r>
              <w:t>5</w:t>
            </w:r>
          </w:p>
        </w:tc>
        <w:tc>
          <w:tcPr>
            <w:tcW w:type="dxa" w:w="936"/>
          </w:tcPr>
          <w:p>
            <w:pPr>
              <w:jc w:val="center"/>
            </w:pPr>
            <w:r>
              <w:t>5</w:t>
            </w:r>
          </w:p>
        </w:tc>
        <w:tc>
          <w:tcPr>
            <w:tcW w:type="dxa" w:w="936"/>
          </w:tcPr>
          <w:p>
            <w:pPr>
              <w:jc w:val="center"/>
            </w:pPr>
            <w:r>
              <w:t>5</w:t>
            </w:r>
          </w:p>
        </w:tc>
        <w:tc>
          <w:tcPr>
            <w:tcW w:type="dxa" w:w="936"/>
          </w:tcPr>
          <w:p>
            <w:pPr>
              <w:jc w:val="center"/>
            </w:pPr>
            <w:r>
              <w:t>97.0</w:t>
            </w:r>
          </w:p>
        </w:tc>
        <w:tc>
          <w:tcPr>
            <w:tcW w:type="dxa" w:w="936"/>
          </w:tcPr>
          <w:p>
            <w:pPr>
              <w:jc w:val="center"/>
            </w:pPr>
            <w:r>
              <w:t>Positive</w:t>
            </w:r>
          </w:p>
        </w:tc>
      </w:tr>
      <w:tr>
        <w:tc>
          <w:tcPr>
            <w:tcW w:type="dxa" w:w="936"/>
          </w:tcPr>
          <w:p>
            <w:pPr>
              <w:jc w:val="center"/>
            </w:pPr>
            <w:r>
              <w:t>#2</w:t>
            </w:r>
          </w:p>
        </w:tc>
        <w:tc>
          <w:tcPr>
            <w:tcW w:type="dxa" w:w="936"/>
          </w:tcPr>
          <w:p>
            <w:pPr>
              <w:jc w:val="center"/>
            </w:pPr>
            <w:r>
              <w:t>5</w:t>
            </w:r>
          </w:p>
        </w:tc>
        <w:tc>
          <w:tcPr>
            <w:tcW w:type="dxa" w:w="936"/>
          </w:tcPr>
          <w:p>
            <w:pPr>
              <w:jc w:val="center"/>
            </w:pPr>
            <w:r>
              <w:t>5</w:t>
            </w:r>
          </w:p>
        </w:tc>
        <w:tc>
          <w:tcPr>
            <w:tcW w:type="dxa" w:w="936"/>
          </w:tcPr>
          <w:p>
            <w:pPr>
              <w:jc w:val="center"/>
            </w:pPr>
            <w:r>
              <w:t>5</w:t>
            </w:r>
          </w:p>
        </w:tc>
        <w:tc>
          <w:tcPr>
            <w:tcW w:type="dxa" w:w="936"/>
          </w:tcPr>
          <w:p>
            <w:pPr>
              <w:jc w:val="center"/>
            </w:pPr>
            <w:r>
              <w:t>5</w:t>
            </w:r>
          </w:p>
        </w:tc>
        <w:tc>
          <w:tcPr>
            <w:tcW w:type="dxa" w:w="936"/>
          </w:tcPr>
          <w:p>
            <w:pPr>
              <w:jc w:val="center"/>
            </w:pPr>
            <w:r>
              <w:t>5</w:t>
            </w:r>
          </w:p>
        </w:tc>
        <w:tc>
          <w:tcPr>
            <w:tcW w:type="dxa" w:w="936"/>
          </w:tcPr>
          <w:p>
            <w:pPr>
              <w:jc w:val="center"/>
            </w:pPr>
            <w:r>
              <w:t>5</w:t>
            </w:r>
          </w:p>
        </w:tc>
        <w:tc>
          <w:tcPr>
            <w:tcW w:type="dxa" w:w="936"/>
          </w:tcPr>
          <w:p>
            <w:pPr>
              <w:jc w:val="center"/>
            </w:pPr>
            <w:r>
              <w:t>5</w:t>
            </w:r>
          </w:p>
        </w:tc>
        <w:tc>
          <w:tcPr>
            <w:tcW w:type="dxa" w:w="936"/>
          </w:tcPr>
          <w:p>
            <w:pPr>
              <w:jc w:val="center"/>
            </w:pPr>
            <w:r>
              <w:t>100.0</w:t>
            </w:r>
          </w:p>
        </w:tc>
        <w:tc>
          <w:tcPr>
            <w:tcW w:type="dxa" w:w="936"/>
          </w:tcPr>
          <w:p>
            <w:pPr>
              <w:jc w:val="center"/>
            </w:pPr>
            <w:r>
              <w:t>Positive</w:t>
            </w:r>
          </w:p>
        </w:tc>
      </w:tr>
      <w:tr>
        <w:tc>
          <w:tcPr>
            <w:tcW w:type="dxa" w:w="936"/>
          </w:tcPr>
          <w:p>
            <w:pPr>
              <w:jc w:val="center"/>
            </w:pPr>
            <w:r>
              <w:t>#3</w:t>
            </w:r>
          </w:p>
        </w:tc>
        <w:tc>
          <w:tcPr>
            <w:tcW w:type="dxa" w:w="936"/>
          </w:tcPr>
          <w:p>
            <w:pPr>
              <w:jc w:val="center"/>
            </w:pPr>
            <w:r>
              <w:t>4</w:t>
            </w:r>
          </w:p>
        </w:tc>
        <w:tc>
          <w:tcPr>
            <w:tcW w:type="dxa" w:w="936"/>
          </w:tcPr>
          <w:p>
            <w:pPr>
              <w:jc w:val="center"/>
            </w:pPr>
            <w:r>
              <w:t>5</w:t>
            </w:r>
          </w:p>
        </w:tc>
        <w:tc>
          <w:tcPr>
            <w:tcW w:type="dxa" w:w="936"/>
          </w:tcPr>
          <w:p>
            <w:pPr>
              <w:jc w:val="center"/>
            </w:pPr>
            <w:r>
              <w:t>4</w:t>
            </w:r>
          </w:p>
        </w:tc>
        <w:tc>
          <w:tcPr>
            <w:tcW w:type="dxa" w:w="936"/>
          </w:tcPr>
          <w:p>
            <w:pPr>
              <w:jc w:val="center"/>
            </w:pPr>
            <w:r>
              <w:t>5</w:t>
            </w:r>
          </w:p>
        </w:tc>
        <w:tc>
          <w:tcPr>
            <w:tcW w:type="dxa" w:w="936"/>
          </w:tcPr>
          <w:p>
            <w:pPr>
              <w:jc w:val="center"/>
            </w:pPr>
            <w:r>
              <w:t>4</w:t>
            </w:r>
          </w:p>
        </w:tc>
        <w:tc>
          <w:tcPr>
            <w:tcW w:type="dxa" w:w="936"/>
          </w:tcPr>
          <w:p>
            <w:pPr>
              <w:jc w:val="center"/>
            </w:pPr>
            <w:r>
              <w:t>5</w:t>
            </w:r>
          </w:p>
        </w:tc>
        <w:tc>
          <w:tcPr>
            <w:tcW w:type="dxa" w:w="936"/>
          </w:tcPr>
          <w:p>
            <w:pPr>
              <w:jc w:val="center"/>
            </w:pPr>
            <w:r>
              <w:t>4</w:t>
            </w:r>
          </w:p>
        </w:tc>
        <w:tc>
          <w:tcPr>
            <w:tcW w:type="dxa" w:w="936"/>
          </w:tcPr>
          <w:p>
            <w:pPr>
              <w:jc w:val="center"/>
            </w:pPr>
            <w:r>
              <w:t>88.0</w:t>
            </w:r>
          </w:p>
        </w:tc>
        <w:tc>
          <w:tcPr>
            <w:tcW w:type="dxa" w:w="936"/>
          </w:tcPr>
          <w:p>
            <w:pPr>
              <w:jc w:val="center"/>
            </w:pPr>
            <w:r>
              <w:t>Started negative, ended neutral</w:t>
            </w:r>
          </w:p>
        </w:tc>
      </w:tr>
      <w:tr>
        <w:tc>
          <w:tcPr>
            <w:tcW w:type="dxa" w:w="936"/>
          </w:tcPr>
          <w:p>
            <w:pPr>
              <w:jc w:val="center"/>
            </w:pPr>
            <w:r>
              <w:t>#4</w:t>
            </w:r>
          </w:p>
        </w:tc>
        <w:tc>
          <w:tcPr>
            <w:tcW w:type="dxa" w:w="936"/>
          </w:tcPr>
          <w:p>
            <w:pPr>
              <w:jc w:val="center"/>
            </w:pPr>
            <w:r>
              <w:t>5</w:t>
            </w:r>
          </w:p>
        </w:tc>
        <w:tc>
          <w:tcPr>
            <w:tcW w:type="dxa" w:w="936"/>
          </w:tcPr>
          <w:p>
            <w:pPr>
              <w:jc w:val="center"/>
            </w:pPr>
            <w:r>
              <w:t>4</w:t>
            </w:r>
          </w:p>
        </w:tc>
        <w:tc>
          <w:tcPr>
            <w:tcW w:type="dxa" w:w="936"/>
          </w:tcPr>
          <w:p>
            <w:pPr>
              <w:jc w:val="center"/>
            </w:pPr>
            <w:r>
              <w:t>5</w:t>
            </w:r>
          </w:p>
        </w:tc>
        <w:tc>
          <w:tcPr>
            <w:tcW w:type="dxa" w:w="936"/>
          </w:tcPr>
          <w:p>
            <w:pPr>
              <w:jc w:val="center"/>
            </w:pPr>
            <w:r>
              <w:t>5</w:t>
            </w:r>
          </w:p>
        </w:tc>
        <w:tc>
          <w:tcPr>
            <w:tcW w:type="dxa" w:w="936"/>
          </w:tcPr>
          <w:p>
            <w:pPr>
              <w:jc w:val="center"/>
            </w:pPr>
            <w:r>
              <w:t>5</w:t>
            </w:r>
          </w:p>
        </w:tc>
        <w:tc>
          <w:tcPr>
            <w:tcW w:type="dxa" w:w="936"/>
          </w:tcPr>
          <w:p>
            <w:pPr>
              <w:jc w:val="center"/>
            </w:pPr>
            <w:r>
              <w:t>5</w:t>
            </w:r>
          </w:p>
        </w:tc>
        <w:tc>
          <w:tcPr>
            <w:tcW w:type="dxa" w:w="936"/>
          </w:tcPr>
          <w:p>
            <w:pPr>
              <w:jc w:val="center"/>
            </w:pPr>
            <w:r>
              <w:t>5</w:t>
            </w:r>
          </w:p>
        </w:tc>
        <w:tc>
          <w:tcPr>
            <w:tcW w:type="dxa" w:w="936"/>
          </w:tcPr>
          <w:p>
            <w:pPr>
              <w:jc w:val="center"/>
            </w:pPr>
            <w:r>
              <w:t>97.0</w:t>
            </w:r>
          </w:p>
        </w:tc>
        <w:tc>
          <w:tcPr>
            <w:tcW w:type="dxa" w:w="936"/>
          </w:tcPr>
          <w:p>
            <w:pPr>
              <w:jc w:val="center"/>
            </w:pPr>
            <w:r>
              <w:t>Neutral</w:t>
            </w:r>
          </w:p>
        </w:tc>
      </w:tr>
      <w:tr>
        <w:tc>
          <w:tcPr>
            <w:tcW w:type="dxa" w:w="936"/>
          </w:tcPr>
          <w:p>
            <w:pPr>
              <w:jc w:val="center"/>
            </w:pPr>
            <w:r>
              <w:t>#5</w:t>
            </w:r>
          </w:p>
        </w:tc>
        <w:tc>
          <w:tcPr>
            <w:tcW w:type="dxa" w:w="936"/>
          </w:tcPr>
          <w:p>
            <w:pPr>
              <w:jc w:val="center"/>
            </w:pPr>
            <w:r>
              <w:t>5</w:t>
            </w:r>
          </w:p>
        </w:tc>
        <w:tc>
          <w:tcPr>
            <w:tcW w:type="dxa" w:w="936"/>
          </w:tcPr>
          <w:p>
            <w:pPr>
              <w:jc w:val="center"/>
            </w:pPr>
            <w:r>
              <w:t>4</w:t>
            </w:r>
          </w:p>
        </w:tc>
        <w:tc>
          <w:tcPr>
            <w:tcW w:type="dxa" w:w="936"/>
          </w:tcPr>
          <w:p>
            <w:pPr>
              <w:jc w:val="center"/>
            </w:pPr>
            <w:r>
              <w:t>5</w:t>
            </w:r>
          </w:p>
        </w:tc>
        <w:tc>
          <w:tcPr>
            <w:tcW w:type="dxa" w:w="936"/>
          </w:tcPr>
          <w:p>
            <w:pPr>
              <w:jc w:val="center"/>
            </w:pPr>
            <w:r>
              <w:t>4</w:t>
            </w:r>
          </w:p>
        </w:tc>
        <w:tc>
          <w:tcPr>
            <w:tcW w:type="dxa" w:w="936"/>
          </w:tcPr>
          <w:p>
            <w:pPr>
              <w:jc w:val="center"/>
            </w:pPr>
            <w:r>
              <w:t>5</w:t>
            </w:r>
          </w:p>
        </w:tc>
        <w:tc>
          <w:tcPr>
            <w:tcW w:type="dxa" w:w="936"/>
          </w:tcPr>
          <w:p>
            <w:pPr>
              <w:jc w:val="center"/>
            </w:pPr>
            <w:r>
              <w:t>5</w:t>
            </w:r>
          </w:p>
        </w:tc>
        <w:tc>
          <w:tcPr>
            <w:tcW w:type="dxa" w:w="936"/>
          </w:tcPr>
          <w:p>
            <w:pPr>
              <w:jc w:val="center"/>
            </w:pPr>
            <w:r>
              <w:t>5</w:t>
            </w:r>
          </w:p>
        </w:tc>
        <w:tc>
          <w:tcPr>
            <w:tcW w:type="dxa" w:w="936"/>
          </w:tcPr>
          <w:p>
            <w:pPr>
              <w:jc w:val="center"/>
            </w:pPr>
            <w:r>
              <w:t>94.0</w:t>
            </w:r>
          </w:p>
        </w:tc>
        <w:tc>
          <w:tcPr>
            <w:tcW w:type="dxa" w:w="936"/>
          </w:tcPr>
          <w:p>
            <w:pPr>
              <w:jc w:val="center"/>
            </w:pPr>
            <w:r>
              <w:t>Positive</w:t>
            </w:r>
          </w:p>
        </w:tc>
      </w:tr>
      <w:tr>
        <w:tc>
          <w:tcPr>
            <w:tcW w:type="dxa" w:w="936"/>
          </w:tcPr>
          <w:p>
            <w:pPr>
              <w:jc w:val="center"/>
            </w:pPr>
            <w:r>
              <w:t>#6</w:t>
            </w:r>
          </w:p>
        </w:tc>
        <w:tc>
          <w:tcPr>
            <w:tcW w:type="dxa" w:w="936"/>
          </w:tcPr>
          <w:p>
            <w:pPr>
              <w:jc w:val="center"/>
            </w:pPr>
            <w:r>
              <w:t>5</w:t>
            </w:r>
          </w:p>
        </w:tc>
        <w:tc>
          <w:tcPr>
            <w:tcW w:type="dxa" w:w="936"/>
          </w:tcPr>
          <w:p>
            <w:pPr>
              <w:jc w:val="center"/>
            </w:pPr>
            <w:r>
              <w:t>4</w:t>
            </w:r>
          </w:p>
        </w:tc>
        <w:tc>
          <w:tcPr>
            <w:tcW w:type="dxa" w:w="936"/>
          </w:tcPr>
          <w:p>
            <w:pPr>
              <w:jc w:val="center"/>
            </w:pPr>
            <w:r>
              <w:t>4</w:t>
            </w:r>
          </w:p>
        </w:tc>
        <w:tc>
          <w:tcPr>
            <w:tcW w:type="dxa" w:w="936"/>
          </w:tcPr>
          <w:p>
            <w:pPr>
              <w:jc w:val="center"/>
            </w:pPr>
            <w:r>
              <w:t>5</w:t>
            </w:r>
          </w:p>
        </w:tc>
        <w:tc>
          <w:tcPr>
            <w:tcW w:type="dxa" w:w="936"/>
          </w:tcPr>
          <w:p>
            <w:pPr>
              <w:jc w:val="center"/>
            </w:pPr>
            <w:r>
              <w:t>4</w:t>
            </w:r>
          </w:p>
        </w:tc>
        <w:tc>
          <w:tcPr>
            <w:tcW w:type="dxa" w:w="936"/>
          </w:tcPr>
          <w:p>
            <w:pPr>
              <w:jc w:val="center"/>
            </w:pPr>
            <w:r>
              <w:t>5</w:t>
            </w:r>
          </w:p>
        </w:tc>
        <w:tc>
          <w:tcPr>
            <w:tcW w:type="dxa" w:w="936"/>
          </w:tcPr>
          <w:p>
            <w:pPr>
              <w:jc w:val="center"/>
            </w:pPr>
            <w:r>
              <w:t>4</w:t>
            </w:r>
          </w:p>
        </w:tc>
        <w:tc>
          <w:tcPr>
            <w:tcW w:type="dxa" w:w="936"/>
          </w:tcPr>
          <w:p>
            <w:pPr>
              <w:jc w:val="center"/>
            </w:pPr>
            <w:r>
              <w:t>87.0</w:t>
            </w:r>
          </w:p>
        </w:tc>
        <w:tc>
          <w:tcPr>
            <w:tcW w:type="dxa" w:w="936"/>
          </w:tcPr>
          <w:p>
            <w:pPr>
              <w:jc w:val="center"/>
            </w:pPr>
            <w:r>
              <w:t>Positive</w:t>
            </w:r>
          </w:p>
        </w:tc>
      </w:tr>
      <w:tr>
        <w:tc>
          <w:tcPr>
            <w:tcW w:type="dxa" w:w="936"/>
          </w:tcPr>
          <w:p>
            <w:pPr>
              <w:jc w:val="center"/>
            </w:pPr>
            <w:r>
              <w:t>#7</w:t>
            </w:r>
          </w:p>
        </w:tc>
        <w:tc>
          <w:tcPr>
            <w:tcW w:type="dxa" w:w="936"/>
          </w:tcPr>
          <w:p>
            <w:pPr>
              <w:jc w:val="center"/>
            </w:pPr>
            <w:r>
              <w:t>5</w:t>
            </w:r>
          </w:p>
        </w:tc>
        <w:tc>
          <w:tcPr>
            <w:tcW w:type="dxa" w:w="936"/>
          </w:tcPr>
          <w:p>
            <w:pPr>
              <w:jc w:val="center"/>
            </w:pPr>
            <w:r>
              <w:t>5</w:t>
            </w:r>
          </w:p>
        </w:tc>
        <w:tc>
          <w:tcPr>
            <w:tcW w:type="dxa" w:w="936"/>
          </w:tcPr>
          <w:p>
            <w:pPr>
              <w:jc w:val="center"/>
            </w:pPr>
            <w:r>
              <w:t>5</w:t>
            </w:r>
          </w:p>
        </w:tc>
        <w:tc>
          <w:tcPr>
            <w:tcW w:type="dxa" w:w="936"/>
          </w:tcPr>
          <w:p>
            <w:pPr>
              <w:jc w:val="center"/>
            </w:pPr>
            <w:r>
              <w:t>5</w:t>
            </w:r>
          </w:p>
        </w:tc>
        <w:tc>
          <w:tcPr>
            <w:tcW w:type="dxa" w:w="936"/>
          </w:tcPr>
          <w:p>
            <w:pPr>
              <w:jc w:val="center"/>
            </w:pPr>
            <w:r>
              <w:t>5</w:t>
            </w:r>
          </w:p>
        </w:tc>
        <w:tc>
          <w:tcPr>
            <w:tcW w:type="dxa" w:w="936"/>
          </w:tcPr>
          <w:p>
            <w:pPr>
              <w:jc w:val="center"/>
            </w:pPr>
            <w:r>
              <w:t>5</w:t>
            </w:r>
          </w:p>
        </w:tc>
        <w:tc>
          <w:tcPr>
            <w:tcW w:type="dxa" w:w="936"/>
          </w:tcPr>
          <w:p>
            <w:pPr>
              <w:jc w:val="center"/>
            </w:pPr>
            <w:r>
              <w:t>5</w:t>
            </w:r>
          </w:p>
        </w:tc>
        <w:tc>
          <w:tcPr>
            <w:tcW w:type="dxa" w:w="936"/>
          </w:tcPr>
          <w:p>
            <w:pPr>
              <w:jc w:val="center"/>
            </w:pPr>
            <w:r>
              <w:t>100.0</w:t>
            </w:r>
          </w:p>
        </w:tc>
        <w:tc>
          <w:tcPr>
            <w:tcW w:type="dxa" w:w="936"/>
          </w:tcPr>
          <w:p>
            <w:pPr>
              <w:jc w:val="center"/>
            </w:pPr>
            <w:r>
              <w:t>Positive</w:t>
            </w:r>
          </w:p>
        </w:tc>
      </w:tr>
      <w:tr>
        <w:tc>
          <w:tcPr>
            <w:tcW w:type="dxa" w:w="936"/>
          </w:tcPr>
          <w:p>
            <w:pPr>
              <w:jc w:val="center"/>
            </w:pPr>
            <w:r>
              <w:t>#8</w:t>
            </w:r>
          </w:p>
        </w:tc>
        <w:tc>
          <w:tcPr>
            <w:tcW w:type="dxa" w:w="936"/>
          </w:tcPr>
          <w:p>
            <w:pPr>
              <w:jc w:val="center"/>
            </w:pPr>
            <w:r>
              <w:t>5</w:t>
            </w:r>
          </w:p>
        </w:tc>
        <w:tc>
          <w:tcPr>
            <w:tcW w:type="dxa" w:w="936"/>
          </w:tcPr>
          <w:p>
            <w:pPr>
              <w:jc w:val="center"/>
            </w:pPr>
            <w:r>
              <w:t>5</w:t>
            </w:r>
          </w:p>
        </w:tc>
        <w:tc>
          <w:tcPr>
            <w:tcW w:type="dxa" w:w="936"/>
          </w:tcPr>
          <w:p>
            <w:pPr>
              <w:jc w:val="center"/>
            </w:pPr>
            <w:r>
              <w:t>5</w:t>
            </w:r>
          </w:p>
        </w:tc>
        <w:tc>
          <w:tcPr>
            <w:tcW w:type="dxa" w:w="936"/>
          </w:tcPr>
          <w:p>
            <w:pPr>
              <w:jc w:val="center"/>
            </w:pPr>
            <w:r>
              <w:t>5</w:t>
            </w:r>
          </w:p>
        </w:tc>
        <w:tc>
          <w:tcPr>
            <w:tcW w:type="dxa" w:w="936"/>
          </w:tcPr>
          <w:p>
            <w:pPr>
              <w:jc w:val="center"/>
            </w:pPr>
            <w:r>
              <w:t>5</w:t>
            </w:r>
          </w:p>
        </w:tc>
        <w:tc>
          <w:tcPr>
            <w:tcW w:type="dxa" w:w="936"/>
          </w:tcPr>
          <w:p>
            <w:pPr>
              <w:jc w:val="center"/>
            </w:pPr>
            <w:r>
              <w:t>5</w:t>
            </w:r>
          </w:p>
        </w:tc>
        <w:tc>
          <w:tcPr>
            <w:tcW w:type="dxa" w:w="936"/>
          </w:tcPr>
          <w:p>
            <w:pPr>
              <w:jc w:val="center"/>
            </w:pPr>
            <w:r>
              <w:t>5</w:t>
            </w:r>
          </w:p>
        </w:tc>
        <w:tc>
          <w:tcPr>
            <w:tcW w:type="dxa" w:w="936"/>
          </w:tcPr>
          <w:p>
            <w:pPr>
              <w:jc w:val="center"/>
            </w:pPr>
            <w:r>
              <w:t>100.0</w:t>
            </w:r>
          </w:p>
        </w:tc>
        <w:tc>
          <w:tcPr>
            <w:tcW w:type="dxa" w:w="936"/>
          </w:tcPr>
          <w:p>
            <w:pPr>
              <w:jc w:val="center"/>
            </w:pPr>
            <w:r>
              <w:t>Positive</w:t>
            </w:r>
          </w:p>
        </w:tc>
      </w:tr>
      <w:tr>
        <w:tc>
          <w:tcPr>
            <w:tcW w:type="dxa" w:w="936"/>
          </w:tcPr>
          <w:p>
            <w:pPr>
              <w:jc w:val="center"/>
            </w:pPr>
            <w:r>
              <w:t>#9</w:t>
            </w:r>
          </w:p>
        </w:tc>
        <w:tc>
          <w:tcPr>
            <w:tcW w:type="dxa" w:w="936"/>
          </w:tcPr>
          <w:p>
            <w:pPr>
              <w:jc w:val="center"/>
            </w:pPr>
            <w:r>
              <w:t>5</w:t>
            </w:r>
          </w:p>
        </w:tc>
        <w:tc>
          <w:tcPr>
            <w:tcW w:type="dxa" w:w="936"/>
          </w:tcPr>
          <w:p>
            <w:pPr>
              <w:jc w:val="center"/>
            </w:pPr>
            <w:r>
              <w:t>5</w:t>
            </w:r>
          </w:p>
        </w:tc>
        <w:tc>
          <w:tcPr>
            <w:tcW w:type="dxa" w:w="936"/>
          </w:tcPr>
          <w:p>
            <w:pPr>
              <w:jc w:val="center"/>
            </w:pPr>
            <w:r>
              <w:t>5</w:t>
            </w:r>
          </w:p>
        </w:tc>
        <w:tc>
          <w:tcPr>
            <w:tcW w:type="dxa" w:w="936"/>
          </w:tcPr>
          <w:p>
            <w:pPr>
              <w:jc w:val="center"/>
            </w:pPr>
            <w:r>
              <w:t>5</w:t>
            </w:r>
          </w:p>
        </w:tc>
        <w:tc>
          <w:tcPr>
            <w:tcW w:type="dxa" w:w="936"/>
          </w:tcPr>
          <w:p>
            <w:pPr>
              <w:jc w:val="center"/>
            </w:pPr>
            <w:r>
              <w:t>4</w:t>
            </w:r>
          </w:p>
        </w:tc>
        <w:tc>
          <w:tcPr>
            <w:tcW w:type="dxa" w:w="936"/>
          </w:tcPr>
          <w:p>
            <w:pPr>
              <w:jc w:val="center"/>
            </w:pPr>
            <w:r>
              <w:t>5</w:t>
            </w:r>
          </w:p>
        </w:tc>
        <w:tc>
          <w:tcPr>
            <w:tcW w:type="dxa" w:w="936"/>
          </w:tcPr>
          <w:p>
            <w:pPr>
              <w:jc w:val="center"/>
            </w:pPr>
            <w:r>
              <w:t>5</w:t>
            </w:r>
          </w:p>
        </w:tc>
        <w:tc>
          <w:tcPr>
            <w:tcW w:type="dxa" w:w="936"/>
          </w:tcPr>
          <w:p>
            <w:pPr>
              <w:jc w:val="center"/>
            </w:pPr>
            <w:r>
              <w:t>97.0</w:t>
            </w:r>
          </w:p>
        </w:tc>
        <w:tc>
          <w:tcPr>
            <w:tcW w:type="dxa" w:w="936"/>
          </w:tcPr>
          <w:p>
            <w:pPr>
              <w:jc w:val="center"/>
            </w:pPr>
            <w:r>
              <w:t>Positive</w:t>
            </w:r>
          </w:p>
        </w:tc>
      </w:tr>
      <w:tr>
        <w:tc>
          <w:tcPr>
            <w:tcW w:type="dxa" w:w="936"/>
          </w:tcPr>
          <w:p>
            <w:pPr>
              <w:jc w:val="center"/>
            </w:pPr>
            <w:r>
              <w:t>#10</w:t>
            </w:r>
          </w:p>
        </w:tc>
        <w:tc>
          <w:tcPr>
            <w:tcW w:type="dxa" w:w="936"/>
          </w:tcPr>
          <w:p>
            <w:pPr>
              <w:jc w:val="center"/>
            </w:pPr>
            <w:r>
              <w:t>5</w:t>
            </w:r>
          </w:p>
        </w:tc>
        <w:tc>
          <w:tcPr>
            <w:tcW w:type="dxa" w:w="936"/>
          </w:tcPr>
          <w:p>
            <w:pPr>
              <w:jc w:val="center"/>
            </w:pPr>
            <w:r>
              <w:t>4</w:t>
            </w:r>
          </w:p>
        </w:tc>
        <w:tc>
          <w:tcPr>
            <w:tcW w:type="dxa" w:w="936"/>
          </w:tcPr>
          <w:p>
            <w:pPr>
              <w:jc w:val="center"/>
            </w:pPr>
            <w:r>
              <w:t>5</w:t>
            </w:r>
          </w:p>
        </w:tc>
        <w:tc>
          <w:tcPr>
            <w:tcW w:type="dxa" w:w="936"/>
          </w:tcPr>
          <w:p>
            <w:pPr>
              <w:jc w:val="center"/>
            </w:pPr>
            <w:r>
              <w:t>4</w:t>
            </w:r>
          </w:p>
        </w:tc>
        <w:tc>
          <w:tcPr>
            <w:tcW w:type="dxa" w:w="936"/>
          </w:tcPr>
          <w:p>
            <w:pPr>
              <w:jc w:val="center"/>
            </w:pPr>
            <w:r>
              <w:t>5</w:t>
            </w:r>
          </w:p>
        </w:tc>
        <w:tc>
          <w:tcPr>
            <w:tcW w:type="dxa" w:w="936"/>
          </w:tcPr>
          <w:p>
            <w:pPr>
              <w:jc w:val="center"/>
            </w:pPr>
            <w:r>
              <w:t>5</w:t>
            </w:r>
          </w:p>
        </w:tc>
        <w:tc>
          <w:tcPr>
            <w:tcW w:type="dxa" w:w="936"/>
          </w:tcPr>
          <w:p>
            <w:pPr>
              <w:jc w:val="center"/>
            </w:pPr>
            <w:r>
              <w:t>4</w:t>
            </w:r>
          </w:p>
        </w:tc>
        <w:tc>
          <w:tcPr>
            <w:tcW w:type="dxa" w:w="936"/>
          </w:tcPr>
          <w:p>
            <w:pPr>
              <w:jc w:val="center"/>
            </w:pPr>
            <w:r>
              <w:t>91.0</w:t>
            </w:r>
          </w:p>
        </w:tc>
        <w:tc>
          <w:tcPr>
            <w:tcW w:type="dxa" w:w="936"/>
          </w:tcPr>
          <w:p>
            <w:pPr>
              <w:jc w:val="center"/>
            </w:pPr>
            <w:r>
              <w:t>Neutral</w:t>
            </w:r>
          </w:p>
        </w:tc>
      </w:tr>
    </w:tbl>
    <w:p>
      <w:pPr>
        <w:pStyle w:val="Heading2"/>
      </w:pPr>
      <w:r>
        <w:rPr>
          <w:b/>
          <w:sz w:val="26"/>
        </w:rPr>
        <w:t>Flagged Calls</w:t>
      </w:r>
    </w:p>
    <w:p>
      <w:r>
        <w:rPr>
          <w:rFonts w:ascii="Calibri" w:hAnsi="Calibri"/>
          <w:i/>
          <w:sz w:val="22"/>
        </w:rPr>
        <w:t>No calls were flagged for review this period. All calls scored above 60/100 and no individual dimension scored 2 or below.</w:t>
      </w:r>
    </w:p>
    <w:p>
      <w:pPr>
        <w:pStyle w:val="Heading2"/>
      </w:pPr>
      <w:r>
        <w:rPr>
          <w:b/>
          <w:sz w:val="26"/>
        </w:rPr>
        <w:t>Calls Requiring Closer Attention</w:t>
      </w:r>
    </w:p>
    <w:p>
      <w:pPr>
        <w:pStyle w:val="Heading3"/>
      </w:pPr>
      <w:r>
        <w:t>Call #3 — De-escalation (Angry Caller)</w:t>
      </w:r>
    </w:p>
    <w:p>
      <w:r>
        <w:rPr>
          <w:b/>
        </w:rPr>
        <w:t xml:space="preserve">Score: </w:t>
      </w:r>
      <w:r>
        <w:t>88.0/100</w:t>
      </w:r>
    </w:p>
    <w:p>
      <w:r>
        <w:rPr>
          <w:b/>
        </w:rPr>
        <w:t xml:space="preserve">Context: </w:t>
      </w:r>
      <w:r>
        <w:t>Caller was angry about previous hold time. Agent de-escalated successfully and offered a callback.</w:t>
      </w:r>
    </w:p>
    <w:p>
      <w:r>
        <w:rPr>
          <w:b/>
        </w:rPr>
        <w:t xml:space="preserve">Observation: </w:t>
      </w:r>
      <w:r>
        <w:t>The agent handled this well overall. The greeting was slightly constrained by the caller's agitation, and there was a minor hesitation before offering the callback option. Sentiment shifted from negative to neutral — a positive outcome for a difficult call.</w:t>
      </w:r>
    </w:p>
    <w:p>
      <w:pPr>
        <w:shd w:val="clear" w:color="auto" w:fill="D9E2F3"/>
        <w:pBdr>
          <w:top w:val="single" w:sz="4" w:space="1" w:color="8FAADC"/>
          <w:left w:val="single" w:sz="4" w:space="1" w:color="8FAADC"/>
          <w:bottom w:val="single" w:sz="4" w:space="1" w:color="8FAADC"/>
          <w:right w:val="single" w:sz="4" w:space="1" w:color="8FAADC"/>
        </w:pBdr>
      </w:pPr>
      <w:r>
        <w:t>Caller: "I've been waiting for 20 minutes last time, this is ridiculous!"</w:t>
        <w:br/>
        <w:t>Agent: "I completely understand your frustration, and I'm sorry about that experience. Let me make sure we take care of you right away..."</w:t>
      </w:r>
    </w:p>
    <w:p>
      <w:r>
        <w:rPr>
          <w:b/>
        </w:rPr>
        <w:t xml:space="preserve">Recommended Improvement: </w:t>
      </w:r>
      <w:r>
        <w:t>Consider adding a prompt instruction for the agent to proactively offer a callback or priority rebooking earlier in de-escalation scenarios, rather than waiting for a natural pause.</w:t>
      </w:r>
    </w:p>
    <w:p>
      <w:pPr>
        <w:pStyle w:val="Heading3"/>
      </w:pPr>
      <w:r>
        <w:t>Call #6 — Pricing Inquiry (Teeth Whitening)</w:t>
      </w:r>
    </w:p>
    <w:p>
      <w:r>
        <w:rPr>
          <w:b/>
        </w:rPr>
        <w:t xml:space="preserve">Score: </w:t>
      </w:r>
      <w:r>
        <w:t>87.0/100</w:t>
      </w:r>
    </w:p>
    <w:p>
      <w:r>
        <w:rPr>
          <w:b/>
        </w:rPr>
        <w:t xml:space="preserve">Context: </w:t>
      </w:r>
      <w:r>
        <w:t>Caller asked about teeth whitening pricing. Agent said it varies and offered to book a consultation.</w:t>
      </w:r>
    </w:p>
    <w:p>
      <w:r>
        <w:rPr>
          <w:b/>
        </w:rPr>
        <w:t xml:space="preserve">Observation: </w:t>
      </w:r>
      <w:r>
        <w:t>The agent correctly avoided quoting unauthorized prices (strong compliance), but the transition from 'I can't give a price' to 'book a consult' felt slightly abrupt. Accuracy was docked slightly because a general price range could have been provided if authorized. It's also unclear whether the caller actually booked the consultation.</w:t>
      </w:r>
    </w:p>
    <w:p>
      <w:pPr>
        <w:shd w:val="clear" w:color="auto" w:fill="D9E2F3"/>
        <w:pBdr>
          <w:top w:val="single" w:sz="4" w:space="1" w:color="8FAADC"/>
          <w:left w:val="single" w:sz="4" w:space="1" w:color="8FAADC"/>
          <w:bottom w:val="single" w:sz="4" w:space="1" w:color="8FAADC"/>
          <w:right w:val="single" w:sz="4" w:space="1" w:color="8FAADC"/>
        </w:pBdr>
      </w:pPr>
      <w:r>
        <w:t>Caller: "How much does teeth whitening cost?"</w:t>
        <w:br/>
        <w:t>Agent: "Great question! The cost can vary depending on the treatment option that's best for you. I'd recommend booking a consultation so the dentist can give you an accurate quote. Would you like to schedule one?"</w:t>
      </w:r>
    </w:p>
    <w:p>
      <w:r>
        <w:rPr>
          <w:b/>
        </w:rPr>
        <w:t xml:space="preserve">Recommended Improvement: </w:t>
      </w:r>
      <w:r>
        <w:t>If authorized, equip the agent with general price ranges (e.g., 'Teeth whitening typically starts from $X') to give callers a ballpark before offering the consult. Also add a confirmation step to track whether the consult was actually booked.</w:t>
      </w:r>
    </w:p>
    <w:p>
      <w:pPr>
        <w:pStyle w:val="Heading3"/>
      </w:pPr>
      <w:r>
        <w:t>Call #10 — Personal Information Request</w:t>
      </w:r>
    </w:p>
    <w:p>
      <w:r>
        <w:rPr>
          <w:b/>
        </w:rPr>
        <w:t xml:space="preserve">Score: </w:t>
      </w:r>
      <w:r>
        <w:t>91.0/100</w:t>
      </w:r>
    </w:p>
    <w:p>
      <w:r>
        <w:rPr>
          <w:b/>
        </w:rPr>
        <w:t xml:space="preserve">Context: </w:t>
      </w:r>
      <w:r>
        <w:t>Caller asked for Dr. Chen's personal mobile number. Agent declined and offered to transfer.</w:t>
      </w:r>
    </w:p>
    <w:p>
      <w:r>
        <w:rPr>
          <w:b/>
        </w:rPr>
        <w:t xml:space="preserve">Observation: </w:t>
      </w:r>
      <w:r>
        <w:t>Excellent compliance — the agent correctly refused to share personal contact information. The tone could have been slightly warmer during the refusal to maintain rapport. The resolution is marked down slightly because it's unclear if the caller accepted the transfer offer.</w:t>
      </w:r>
    </w:p>
    <w:p>
      <w:pPr>
        <w:shd w:val="clear" w:color="auto" w:fill="D9E2F3"/>
        <w:pBdr>
          <w:top w:val="single" w:sz="4" w:space="1" w:color="8FAADC"/>
          <w:left w:val="single" w:sz="4" w:space="1" w:color="8FAADC"/>
          <w:bottom w:val="single" w:sz="4" w:space="1" w:color="8FAADC"/>
          <w:right w:val="single" w:sz="4" w:space="1" w:color="8FAADC"/>
        </w:pBdr>
      </w:pPr>
      <w:r>
        <w:t>Caller: "Can I get Dr. Chen's mobile number?"</w:t>
        <w:br/>
        <w:t>Agent: "I'm not able to share personal contact details, but I can transfer you to the clinic line where the team can help you reach Dr. Chen. Would you like me to do that?"</w:t>
      </w:r>
    </w:p>
    <w:p>
      <w:r>
        <w:rPr>
          <w:b/>
        </w:rPr>
        <w:t xml:space="preserve">Recommended Improvement: </w:t>
      </w:r>
      <w:r>
        <w:t>Add softer framing to the refusal, e.g., 'For privacy reasons, I'm not able to share personal numbers, but I'd love to help you connect with Dr. Chen through the clinic.' Also ensure the transfer is tracked to confirm resolution.</w:t>
      </w:r>
    </w:p>
    <w:p>
      <w:pPr>
        <w:pStyle w:val="Heading2"/>
      </w:pPr>
      <w:r>
        <w:rPr>
          <w:b/>
          <w:sz w:val="26"/>
        </w:rPr>
        <w:t>Patterns &amp; Trends</w:t>
      </w:r>
    </w:p>
    <w:p>
      <w:r>
        <w:rPr>
          <w:rFonts w:ascii="Calibri" w:hAnsi="Calibri"/>
          <w:b/>
          <w:sz w:val="22"/>
        </w:rPr>
        <w:t xml:space="preserve">Strong greeting consistency: </w:t>
      </w:r>
      <w:r>
        <w:rPr>
          <w:rFonts w:ascii="Calibri" w:hAnsi="Calibri"/>
          <w:sz w:val="22"/>
        </w:rPr>
        <w:t>All 10 calls scored 4 or 5 on Greeting &amp; ID. The agent consistently identifies itself and the clinic, creating a professional first impression.</w:t>
      </w:r>
    </w:p>
    <w:p>
      <w:r>
        <w:rPr>
          <w:rFonts w:ascii="Calibri" w:hAnsi="Calibri"/>
          <w:b/>
          <w:sz w:val="22"/>
        </w:rPr>
        <w:t xml:space="preserve">Excellent compliance: </w:t>
      </w:r>
      <w:r>
        <w:rPr>
          <w:rFonts w:ascii="Calibri" w:hAnsi="Calibri"/>
          <w:sz w:val="22"/>
        </w:rPr>
        <w:t>Perfect 5/5 compliance scores across all calls. The agent never shared unauthorized information, made improper commitments, or failed to disclose its AI status when asked.</w:t>
      </w:r>
    </w:p>
    <w:p>
      <w:r>
        <w:rPr>
          <w:rFonts w:ascii="Calibri" w:hAnsi="Calibri"/>
          <w:b/>
          <w:sz w:val="22"/>
        </w:rPr>
        <w:t xml:space="preserve">Outstanding patience with diverse callers: </w:t>
      </w:r>
      <w:r>
        <w:rPr>
          <w:rFonts w:ascii="Calibri" w:hAnsi="Calibri"/>
          <w:sz w:val="22"/>
        </w:rPr>
        <w:t>From the slow-speaking caller (#9) to the angry caller (#3) to the wrong-number caller (#4), the agent adapted its pace and approach appropriately.</w:t>
      </w:r>
    </w:p>
    <w:p>
      <w:r>
        <w:rPr>
          <w:rFonts w:ascii="Calibri" w:hAnsi="Calibri"/>
          <w:b/>
          <w:sz w:val="22"/>
        </w:rPr>
        <w:t xml:space="preserve">Pricing inquiries are a weak point: </w:t>
      </w:r>
      <w:r>
        <w:rPr>
          <w:rFonts w:ascii="Calibri" w:hAnsi="Calibri"/>
          <w:sz w:val="22"/>
        </w:rPr>
        <w:t>Call #6 revealed a gap in how pricing questions are handled. The agent correctly avoids quoting prices but the pivot to 'book a consult' needs smoother framing.</w:t>
      </w:r>
    </w:p>
    <w:p>
      <w:r>
        <w:rPr>
          <w:rFonts w:ascii="Calibri" w:hAnsi="Calibri"/>
          <w:b/>
          <w:sz w:val="22"/>
        </w:rPr>
        <w:t xml:space="preserve">High booking conversion: </w:t>
      </w:r>
      <w:r>
        <w:rPr>
          <w:rFonts w:ascii="Calibri" w:hAnsi="Calibri"/>
          <w:sz w:val="22"/>
        </w:rPr>
        <w:t>7 out of 10 calls resulted in a booking or reschedule — a 70% conversion rate on all calls (87.5% when excluding the wrong number and personal info request calls).</w:t>
      </w:r>
    </w:p>
    <w:p>
      <w:r>
        <w:rPr>
          <w:rFonts w:ascii="Calibri" w:hAnsi="Calibri"/>
          <w:b/>
          <w:sz w:val="22"/>
        </w:rPr>
        <w:t xml:space="preserve">Resolution tracking gap: </w:t>
      </w:r>
      <w:r>
        <w:rPr>
          <w:rFonts w:ascii="Calibri" w:hAnsi="Calibri"/>
          <w:sz w:val="22"/>
        </w:rPr>
        <w:t>In calls #6 and #10, it's unclear whether the offered next step (consult booking, transfer) was actually completed. This is a tracking/analytics gap rather than an agent quality issue.</w:t>
      </w:r>
    </w:p>
    <w:p>
      <w:pPr>
        <w:pStyle w:val="Heading2"/>
      </w:pPr>
      <w:r>
        <w:rPr>
          <w:b/>
          <w:sz w:val="26"/>
        </w:rPr>
        <w:t>Prompt Improvement Suggestions</w:t>
      </w:r>
    </w:p>
    <w:p>
      <w:pPr>
        <w:spacing w:after="120"/>
      </w:pPr>
      <w:r>
        <w:rPr>
          <w:b/>
          <w:sz w:val="22"/>
        </w:rPr>
        <w:t xml:space="preserve">1. </w:t>
      </w:r>
      <w:r>
        <w:rPr>
          <w:rFonts w:ascii="Calibri" w:hAnsi="Calibri"/>
          <w:sz w:val="22"/>
        </w:rPr>
        <w:t>Add general price ranges to the agent's knowledge base for common services (teeth whitening, cleaning, checkups) so it can provide ballpark figures before recommending a consultation. This addresses the gap identified in Call #6.</w:t>
      </w:r>
    </w:p>
    <w:p>
      <w:pPr>
        <w:spacing w:after="120"/>
      </w:pPr>
      <w:r>
        <w:rPr>
          <w:b/>
          <w:sz w:val="22"/>
        </w:rPr>
        <w:t xml:space="preserve">2. </w:t>
      </w:r>
      <w:r>
        <w:rPr>
          <w:rFonts w:ascii="Calibri" w:hAnsi="Calibri"/>
          <w:sz w:val="22"/>
        </w:rPr>
        <w:t>Introduce an earlier callback/priority-rebooking offer in the de-escalation flow. Currently the agent waits for a natural pause; prompting it to offer a solution within the first 30 seconds of detecting frustration would improve resolution speed (Call #3).</w:t>
      </w:r>
    </w:p>
    <w:p>
      <w:pPr>
        <w:spacing w:after="120"/>
      </w:pPr>
      <w:r>
        <w:rPr>
          <w:b/>
          <w:sz w:val="22"/>
        </w:rPr>
        <w:t xml:space="preserve">3. </w:t>
      </w:r>
      <w:r>
        <w:rPr>
          <w:rFonts w:ascii="Calibri" w:hAnsi="Calibri"/>
          <w:sz w:val="22"/>
        </w:rPr>
        <w:t>Add softer framing templates for declining requests (e.g., personal contact info). Instead of a direct 'I can't share that,' use empathy-first language: 'For privacy reasons, I'm not able to share personal numbers, but I'd love to help you connect through the clinic.' (Call #10).</w:t>
      </w:r>
    </w:p>
    <w:p>
      <w:pPr>
        <w:spacing w:after="120"/>
      </w:pPr>
      <w:r>
        <w:rPr>
          <w:b/>
          <w:sz w:val="22"/>
        </w:rPr>
        <w:t xml:space="preserve">4. </w:t>
      </w:r>
      <w:r>
        <w:rPr>
          <w:rFonts w:ascii="Calibri" w:hAnsi="Calibri"/>
          <w:sz w:val="22"/>
        </w:rPr>
        <w:t>Implement post-call confirmation tracking for offered next steps (consult bookings, transfers). This will close the resolution tracking gap identified in Calls #6 and #10 and provide better data for future QA audits.</w:t>
      </w:r>
    </w:p>
    <w:p>
      <w:pPr>
        <w:spacing w:after="120"/>
      </w:pPr>
      <w:r>
        <w:rPr>
          <w:b/>
          <w:sz w:val="22"/>
        </w:rPr>
        <w:t xml:space="preserve">5. </w:t>
      </w:r>
      <w:r>
        <w:rPr>
          <w:rFonts w:ascii="Calibri" w:hAnsi="Calibri"/>
          <w:sz w:val="22"/>
        </w:rPr>
        <w:t>Consider adding a brief after-hours FAQ capability so the agent can answer common questions (hours, location, emergency info) even when booking is the primary after-hours function (reinforces Call #5's strong handling).</w:t>
      </w:r>
    </w:p>
    <w:p>
      <w:pPr>
        <w:pStyle w:val="Heading2"/>
      </w:pPr>
      <w:r>
        <w:rPr>
          <w:b/>
          <w:sz w:val="26"/>
        </w:rPr>
        <w:t>Comparison to Previous Period</w:t>
      </w:r>
    </w:p>
    <w:p>
      <w:r>
        <w:rPr>
          <w:b/>
          <w:sz w:val="22"/>
        </w:rPr>
        <w:t xml:space="preserve">Note: </w:t>
      </w:r>
      <w:r>
        <w:rPr>
          <w:rFonts w:ascii="Calibri" w:hAnsi="Calibri"/>
          <w:i/>
          <w:sz w:val="22"/>
        </w:rPr>
        <w:t>No prior period QA data is available for comparison. This is the first QA audit for the Bright Smile Dental AI Receptionist. Future reports will include period-over-period trending for all dimensions.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08080"/>
        <w:sz w:val="18"/>
      </w:rPr>
      <w:t>Prepared by Inspra AI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